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b4735b6fd66478d"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3db9e683323d494f">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12</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Пољопривреда, производња и прерада хране</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Пољопривреда, производња и прерада хране („Службени гласник РС – Просветни гласник”, бр. 9/18, 3/21, 10/21, 7/22, 10/23, 14/23, 10/24, 5/25 и 7/25), у делу: „ПЛАН И ПРОГРАМ НАСТАВЕ И УЧЕЊА ЗА ОБРАЗОВНИ ПРОФИЛ ТЕХНИЧАР ХОРТИКУЛТУРЕ”, после програма предмета: „КЛИМАТСКЕ ПРОМЕНЕ У ПОЉОПРИВРЕДИ”, додаје се: „Програм матурског испита за образовни профил техничар хортикултуре”.</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РУКОВАЛАЦ ПОЉОПРИВРЕДНЕ ТЕХНИКЕ”, после програма предмета: „КЛИМАТСКЕ ПРОМЕНЕ У ПОЉОПРИВРЕДИ”, додаје се: „Програм завршног испита за образовни профил руковалац пољопривредне технике”.</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110-00-36/2026-03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ХОРТИКУЛТУРЕ</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хортикултуре</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хортикултуре, </w:t>
      </w:r>
      <w:r>
        <w:rPr>
          <w:rFonts w:ascii="Verdana" w:hAnsi="Verdana" w:eastAsia="Verdana" w:cs="Verdana"/>
          <w:sz w:val="22"/>
        </w:rPr>
        <w:t xml:space="preserve">„Службени гласник РС – Просветни гласник”, број 7/21).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хортикултуре, </w:t>
      </w:r>
      <w:r>
        <w:rPr>
          <w:rFonts w:ascii="Verdana" w:hAnsi="Verdana" w:eastAsia="Verdana" w:cs="Verdana"/>
          <w:sz w:val="22"/>
        </w:rPr>
        <w:t xml:space="preserve">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хортикултуре.</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хортикултуре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Расадничарска производња;</w:t>
      </w:r>
    </w:p>
    <w:p>
      <w:pPr>
        <w:spacing w:before="0" w:line="210" w:lineRule="atLeast"/>
        <w:ind w:left="0" w:right="0"/>
      </w:pPr>
      <w:r>
        <w:rPr>
          <w:rFonts w:ascii="Verdana" w:hAnsi="Verdana" w:eastAsia="Verdana" w:cs="Verdana"/>
          <w:sz w:val="22"/>
        </w:rPr>
        <w:t xml:space="preserve">– Цвећарство;</w:t>
      </w:r>
    </w:p>
    <w:p>
      <w:pPr>
        <w:spacing w:before="0" w:line="210" w:lineRule="atLeast"/>
        <w:ind w:left="0" w:right="0"/>
      </w:pPr>
      <w:r>
        <w:rPr>
          <w:rFonts w:ascii="Verdana" w:hAnsi="Verdana" w:eastAsia="Verdana" w:cs="Verdana"/>
          <w:sz w:val="22"/>
        </w:rPr>
        <w:t xml:space="preserve">– Подизање и нега зелених површина.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техничар хортикултуре.</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 хортикултуре</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хортикултуре</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хортикултуре</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РУКОВАЛАЦ ПОЉОПРИВРЕДНЕ ТЕХНИКЕ</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b/>
          <w:sz w:val="22"/>
        </w:rPr>
        <w:t xml:space="preserve"> руковалац пољопривредне технике,</w:t>
      </w:r>
      <w:r>
        <w:rPr>
          <w:rFonts w:ascii="Verdana" w:hAnsi="Verdana" w:eastAsia="Verdana" w:cs="Verdana"/>
          <w:sz w:val="22"/>
        </w:rPr>
        <w:t xml:space="preserve"> стекао стручне компетенције прописане Стандардом квалификације – </w:t>
      </w:r>
      <w:r>
        <w:rPr>
          <w:rFonts w:ascii="Verdana" w:hAnsi="Verdana" w:eastAsia="Verdana" w:cs="Verdana"/>
          <w:i/>
          <w:sz w:val="22"/>
        </w:rPr>
        <w:t xml:space="preserve">руковалац пољопривредне технике</w:t>
      </w:r>
      <w:r>
        <w:rPr>
          <w:rFonts w:ascii="Verdana" w:hAnsi="Verdana" w:eastAsia="Verdana" w:cs="Verdana"/>
          <w:sz w:val="22"/>
        </w:rPr>
        <w:t xml:space="preserve"> („Службени гласник РС – Просветни гласник”, број 8/22).</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руковалац пољопривредне технике</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руковалац пољопривредне технике</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стандардизоване радне задатке за практични рад и образац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руковалац пољопривредне технике</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Завршни испит за ученика може трајати највише </w:t>
      </w:r>
      <w:r>
        <w:rPr>
          <w:rFonts w:ascii="Verdana" w:hAnsi="Verdana" w:eastAsia="Verdana" w:cs="Verdana"/>
          <w:b/>
          <w:sz w:val="22"/>
        </w:rPr>
        <w:t xml:space="preserve">један дан.</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одговарајућа листа радних задатака на завршном испиту.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задатака у сваком испитном року. Број радних задатака у школској листи мора бити најмање за 10% већи од броја ученика у одељењу који полажу завршни испит. Ученик извлачи радни задатак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радни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руковалац пољопривредне технике.</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руковалац пољопривредне технике.</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3db9e683323d494f" /></Relationships>
</file>