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d1fa8712ec94deb" /></Relationships>
</file>

<file path=word/document.xml><?xml version="1.0" encoding="utf-8"?>
<w:document xmlns:w="http://schemas.openxmlformats.org/wordprocessingml/2006/main">
  <w:body>
    <w:sectPr>
      <w:pgSz w:w="11906" w:h="16838" w:orient="portrait"/>
      <w:pgMar w:top="1440" w:right="1440" w:bottom="1440" w:left="1440"/>
    </w:sectPr>
    <w:p>
      <w:pPr>
        <w:spacing w:before="0" w:line="210" w:lineRule="atLeast"/>
        <w:ind w:left="0" w:right="0"/>
      </w:pPr>
      <w:r>
        <w:rPr>
          <w:rFonts w:ascii="Verdana" w:hAnsi="Verdana" w:eastAsia="Verdana" w:cs="Verdana"/>
          <w:color w:val="000000"/>
          <w:sz w:val="22"/>
        </w:rPr>
        <w:t xml:space="preserve">Преузето са </w:t>
      </w:r>
      <w:hyperlink xmlns:r="http://schemas.openxmlformats.org/officeDocument/2006/relationships" w:history="true" r:id="R56a02231031b4c18">
        <w:r>
          <w:rPr>
            <w:rStyle w:val="Hyperlink"/>
            <w:rFonts w:ascii="Verdana" w:hAnsi="Verdana" w:eastAsia="Verdana" w:cs="Verdana"/>
            <w:color w:val="337ab7"/>
            <w:sz w:val="22"/>
          </w:rPr>
          <w:t xml:space="preserve">https://pravno-informacioni-sistem.rs</w:t>
        </w:r>
      </w:hyperlink>
    </w:p>
    <w:p>
      <w:pPr>
        <w:spacing w:before="0" w:line="210" w:lineRule="atLeast"/>
        <w:ind w:left="0" w:right="0"/>
      </w:pPr>
      <w:r>
        <w:rPr>
          <w:rFonts w:ascii="Verdana" w:hAnsi="Verdana" w:eastAsia="Verdana" w:cs="Verdana"/>
          <w:color w:val="000000"/>
          <w:sz w:val="22"/>
        </w:rPr>
        <w:t xml:space="preserve">Просветни гласник 2/2026, Датум: 14.5.2026.</w:t>
      </w:r>
    </w:p>
    <w:p>
      <w:pPr>
        <w:spacing w:before="0" w:line="210" w:lineRule="atLeast"/>
        <w:ind w:left="0" w:right="0"/>
        <w:jc w:val="center"/>
      </w:pPr>
      <w:r>
        <w:rPr>
          <w:rFonts w:ascii="Verdana" w:hAnsi="Verdana" w:eastAsia="Verdana" w:cs="Verdana"/>
          <w:b/>
          <w:sz w:val="22"/>
        </w:rPr>
        <w:t xml:space="preserve">7</w:t>
      </w:r>
    </w:p>
    <w:p>
      <w:pPr>
        <w:spacing w:before="0" w:line="210" w:lineRule="atLeast"/>
        <w:ind w:left="0" w:right="0"/>
      </w:pPr>
      <w:r>
        <w:rPr>
          <w:rFonts w:ascii="Verdana" w:hAnsi="Verdana" w:eastAsia="Verdana" w:cs="Verdana"/>
          <w:sz w:val="22"/>
        </w:rPr>
        <w:t xml:space="preserve">На основу члана 67. став 4. Закона о основама система образовања и васпитања („Службени гласник РС”, бр. 88/17, 27/18 – др. закон, 10/19, 6/20, 129/21, 92/23 и 19/25),</w:t>
      </w:r>
    </w:p>
    <w:p>
      <w:pPr>
        <w:spacing w:before="0" w:line="210" w:lineRule="atLeast"/>
        <w:ind w:left="0" w:right="0"/>
      </w:pPr>
      <w:r>
        <w:rPr>
          <w:rFonts w:ascii="Verdana" w:hAnsi="Verdana" w:eastAsia="Verdana" w:cs="Verdana"/>
          <w:sz w:val="22"/>
        </w:rPr>
        <w:t xml:space="preserve">Министар просвете доноси</w:t>
      </w:r>
    </w:p>
    <w:p>
      <w:pPr>
        <w:spacing w:before="0" w:line="210" w:lineRule="atLeast"/>
        <w:ind w:left="0" w:right="0"/>
        <w:jc w:val="center"/>
      </w:pPr>
      <w:r>
        <w:rPr>
          <w:rFonts w:ascii="Verdana" w:hAnsi="Verdana" w:eastAsia="Verdana" w:cs="Verdana"/>
          <w:b/>
          <w:sz w:val="22"/>
        </w:rPr>
        <w:t xml:space="preserve">ПРАВИЛНИК</w:t>
      </w:r>
    </w:p>
    <w:p>
      <w:pPr>
        <w:spacing w:before="0" w:line="210" w:lineRule="atLeast"/>
        <w:ind w:left="0" w:right="0"/>
        <w:jc w:val="center"/>
      </w:pPr>
      <w:r>
        <w:rPr>
          <w:rFonts w:ascii="Verdana" w:hAnsi="Verdana" w:eastAsia="Verdana" w:cs="Verdana"/>
          <w:b/>
          <w:sz w:val="22"/>
        </w:rPr>
        <w:t xml:space="preserve">о допунама Правилника о плану и програму наставе и учења стручних предмета средњег стручног образовања у подручју рада Електротехника</w:t>
      </w:r>
    </w:p>
    <w:p>
      <w:pPr>
        <w:spacing w:before="0" w:line="210" w:lineRule="atLeast"/>
        <w:ind w:left="0" w:right="0"/>
        <w:jc w:val="center"/>
      </w:pPr>
      <w:r>
        <w:rPr>
          <w:rFonts w:ascii="Verdana" w:hAnsi="Verdana" w:eastAsia="Verdana" w:cs="Verdana"/>
          <w:sz w:val="22"/>
        </w:rPr>
        <w:t xml:space="preserve">Члан 1.</w:t>
      </w:r>
    </w:p>
    <w:p>
      <w:pPr>
        <w:spacing w:before="0" w:line="210" w:lineRule="atLeast"/>
        <w:ind w:left="0" w:right="0"/>
      </w:pPr>
      <w:r>
        <w:rPr>
          <w:rFonts w:ascii="Verdana" w:hAnsi="Verdana" w:eastAsia="Verdana" w:cs="Verdana"/>
          <w:sz w:val="22"/>
        </w:rPr>
        <w:t xml:space="preserve">У Правилнику о плану и програму наставе и учења стручних предмета средњег стручног образовања у подручју рада Електротехника („Службени гласник РС – Просветни гласник”, бр. 11/18, 7/19, 9/19, 13/19, 12/20, 7/21, 2/22, 13/22, 3/23, 8/23, 5/24, 12/24, 5/25 и 6/25), у делу: „ПЛАН И ПРОГРАМ НАСТАВЕ И УЧЕЊА ЗА ОБРАЗОВНИ ПРОФИЛ ТЕХНИЧАР ТЕЛЕКОМУНИКАЦИОНИХ ТЕХНОЛОГИЈА”, после програма предмета: „ШТАМПАНЕ ПЛОЧЕ”, додаје се: „Програм матурског испита за образовни профил техничар телекомуникационих технологија”.</w:t>
      </w:r>
    </w:p>
    <w:p>
      <w:pPr>
        <w:spacing w:before="0" w:line="210" w:lineRule="atLeast"/>
        <w:ind w:left="0" w:right="0"/>
      </w:pPr>
      <w:r>
        <w:rPr>
          <w:rFonts w:ascii="Verdana" w:hAnsi="Verdana" w:eastAsia="Verdana" w:cs="Verdana"/>
          <w:sz w:val="22"/>
        </w:rPr>
        <w:t xml:space="preserve">У делу: „ПЛАН И ПРОГРАМ НАСТАВЕ И УЧЕЊА ЗА ОБРАЗОВНИ ПРОФИЛ ТЕХНИЧАР МУЛТИМЕДИЈА”, после програма предмета: „КУЛТУРА КОМУНИКАЦИЈЕ У МЕДИЈИМА”, додаје се: „Програм матурског испита за образовни профил техничар мултимедија”.</w:t>
      </w:r>
    </w:p>
    <w:p>
      <w:pPr>
        <w:spacing w:before="0" w:line="210" w:lineRule="atLeast"/>
        <w:ind w:left="0" w:right="0"/>
        <w:jc w:val="center"/>
      </w:pPr>
      <w:r>
        <w:rPr>
          <w:rFonts w:ascii="Verdana" w:hAnsi="Verdana" w:eastAsia="Verdana" w:cs="Verdana"/>
          <w:sz w:val="22"/>
        </w:rPr>
        <w:t xml:space="preserve">Члан 2.</w:t>
      </w:r>
    </w:p>
    <w:p>
      <w:pPr>
        <w:spacing w:before="0" w:line="210" w:lineRule="atLeast"/>
        <w:ind w:left="0" w:right="0"/>
      </w:pPr>
      <w:r>
        <w:rPr>
          <w:rFonts w:ascii="Verdana" w:hAnsi="Verdana" w:eastAsia="Verdana" w:cs="Verdana"/>
          <w:sz w:val="22"/>
        </w:rPr>
        <w:t xml:space="preserve">Програми из члана 1. овог правилника, одштампани су уз овај правилник и чине његов саставни део.</w:t>
      </w:r>
    </w:p>
    <w:p>
      <w:pPr>
        <w:spacing w:before="0" w:line="210" w:lineRule="atLeast"/>
        <w:ind w:left="0" w:right="0"/>
        <w:jc w:val="center"/>
      </w:pPr>
      <w:r>
        <w:rPr>
          <w:rFonts w:ascii="Verdana" w:hAnsi="Verdana" w:eastAsia="Verdana" w:cs="Verdana"/>
          <w:sz w:val="22"/>
        </w:rPr>
        <w:t xml:space="preserve">Члан 3.</w:t>
      </w:r>
    </w:p>
    <w:p>
      <w:pPr>
        <w:spacing w:before="0" w:line="210" w:lineRule="atLeast"/>
        <w:ind w:left="0" w:right="0"/>
      </w:pPr>
      <w:r>
        <w:rPr>
          <w:rFonts w:ascii="Verdana" w:hAnsi="Verdana" w:eastAsia="Verdana" w:cs="Verdana"/>
          <w:sz w:val="22"/>
        </w:rPr>
        <w:t xml:space="preserve">Овај правилник ступа на снагу осмог дана од дана објављивања у „Службеном гласнику Републике Србије – Просветном гласнику”.</w:t>
      </w:r>
    </w:p>
    <w:p>
      <w:pPr>
        <w:spacing w:before="0" w:line="210" w:lineRule="atLeast"/>
        <w:ind w:left="0" w:right="0"/>
        <w:jc w:val="right"/>
      </w:pPr>
      <w:r>
        <w:rPr>
          <w:rFonts w:ascii="Verdana" w:hAnsi="Verdana" w:eastAsia="Verdana" w:cs="Verdana"/>
          <w:sz w:val="22"/>
        </w:rPr>
        <w:t xml:space="preserve">Број 110-00-30/2026-03</w:t>
      </w:r>
    </w:p>
    <w:p>
      <w:pPr>
        <w:spacing w:before="0" w:line="210" w:lineRule="atLeast"/>
        <w:ind w:left="0" w:right="0"/>
        <w:jc w:val="right"/>
      </w:pPr>
      <w:r>
        <w:rPr>
          <w:rFonts w:ascii="Verdana" w:hAnsi="Verdana" w:eastAsia="Verdana" w:cs="Verdana"/>
          <w:sz w:val="22"/>
        </w:rPr>
        <w:t xml:space="preserve">У Београду, 4. маја 2026. године</w:t>
      </w:r>
    </w:p>
    <w:p>
      <w:pPr>
        <w:spacing w:before="0" w:line="210" w:lineRule="atLeast"/>
        <w:ind w:left="0" w:right="0"/>
        <w:jc w:val="right"/>
      </w:pPr>
      <w:r>
        <w:rPr>
          <w:rFonts w:ascii="Verdana" w:hAnsi="Verdana" w:eastAsia="Verdana" w:cs="Verdana"/>
          <w:sz w:val="22"/>
        </w:rPr>
        <w:t xml:space="preserve">Министар,</w:t>
      </w:r>
    </w:p>
    <w:p>
      <w:pPr>
        <w:spacing w:before="0" w:line="210" w:lineRule="atLeast"/>
        <w:ind w:left="0" w:right="0"/>
        <w:jc w:val="right"/>
      </w:pPr>
      <w:r>
        <w:rPr>
          <w:rFonts w:ascii="Verdana" w:hAnsi="Verdana" w:eastAsia="Verdana" w:cs="Verdana"/>
          <w:sz w:val="22"/>
        </w:rPr>
        <w:t xml:space="preserve">проф. др </w:t>
      </w:r>
      <w:r>
        <w:rPr>
          <w:rFonts w:ascii="Verdana" w:hAnsi="Verdana" w:eastAsia="Verdana" w:cs="Verdana"/>
          <w:b/>
          <w:sz w:val="22"/>
        </w:rPr>
        <w:t xml:space="preserve">Дејан Вук Станковић</w:t>
      </w:r>
      <w:r>
        <w:rPr>
          <w:rFonts w:ascii="Verdana" w:hAnsi="Verdana" w:eastAsia="Verdana" w:cs="Verdana"/>
          <w:sz w:val="22"/>
        </w:rPr>
        <w:t xml:space="preserve">, с.р.</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ТЕХНИЧАР МУЛТИМЕДИЈА</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w:t>
      </w:r>
      <w:r>
        <w:rPr>
          <w:rFonts w:ascii="Verdana" w:hAnsi="Verdana" w:eastAsia="Verdana" w:cs="Verdana"/>
          <w:b/>
          <w:sz w:val="22"/>
        </w:rPr>
        <w:t xml:space="preserve">техничар мултимедија</w:t>
      </w:r>
      <w:r>
        <w:rPr>
          <w:rFonts w:ascii="Verdana" w:hAnsi="Verdana" w:eastAsia="Verdana" w:cs="Verdana"/>
          <w:sz w:val="22"/>
        </w:rPr>
        <w:t xml:space="preserve">, стекао стручне компетенције прописане Стандардом квалификације </w:t>
      </w:r>
      <w:r>
        <w:rPr>
          <w:rFonts w:ascii="Verdana" w:hAnsi="Verdana" w:eastAsia="Verdana" w:cs="Verdana"/>
          <w:i/>
          <w:sz w:val="22"/>
        </w:rPr>
        <w:t xml:space="preserve">– техничар мултимедија</w:t>
      </w:r>
      <w:r>
        <w:rPr>
          <w:rFonts w:ascii="Verdana" w:hAnsi="Verdana" w:eastAsia="Verdana" w:cs="Verdana"/>
          <w:sz w:val="22"/>
        </w:rPr>
        <w:t xml:space="preserve"> („Службени гласник РС – Просветни гласник”, број 5/21).</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техничар мултимедија</w:t>
      </w:r>
      <w:r>
        <w:rPr>
          <w:rFonts w:ascii="Verdana" w:hAnsi="Verdana" w:eastAsia="Verdana" w:cs="Verdana"/>
          <w:sz w:val="22"/>
        </w:rPr>
        <w:t xml:space="preserve">, 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техничар мултимедија</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 техничар мултимедија,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стандардизовани радни задаци и образац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 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w:t>
      </w:r>
      <w:r>
        <w:rPr>
          <w:rFonts w:ascii="Verdana" w:hAnsi="Verdana" w:eastAsia="Verdana" w:cs="Verdana"/>
          <w:b/>
          <w:sz w:val="22"/>
        </w:rPr>
        <w:t xml:space="preserve">четири дана</w:t>
      </w:r>
      <w:r>
        <w:rPr>
          <w:rFonts w:ascii="Verdana" w:hAnsi="Verdana" w:eastAsia="Verdana" w:cs="Verdana"/>
          <w:sz w:val="22"/>
        </w:rPr>
        <w:t xml:space="preserve">.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Електроника;</w:t>
      </w:r>
    </w:p>
    <w:p>
      <w:pPr>
        <w:spacing w:before="0" w:line="210" w:lineRule="atLeast"/>
        <w:ind w:left="0" w:right="0"/>
      </w:pPr>
      <w:r>
        <w:rPr>
          <w:rFonts w:ascii="Verdana" w:hAnsi="Verdana" w:eastAsia="Verdana" w:cs="Verdana"/>
          <w:sz w:val="22"/>
        </w:rPr>
        <w:t xml:space="preserve">– Аудио технологије;</w:t>
      </w:r>
    </w:p>
    <w:p>
      <w:pPr>
        <w:spacing w:before="0" w:line="210" w:lineRule="atLeast"/>
        <w:ind w:left="0" w:right="0"/>
      </w:pPr>
      <w:r>
        <w:rPr>
          <w:rFonts w:ascii="Verdana" w:hAnsi="Verdana" w:eastAsia="Verdana" w:cs="Verdana"/>
          <w:sz w:val="22"/>
        </w:rPr>
        <w:t xml:space="preserve">– Видео технологије;</w:t>
      </w:r>
    </w:p>
    <w:p>
      <w:pPr>
        <w:spacing w:before="0" w:line="210" w:lineRule="atLeast"/>
        <w:ind w:left="0" w:right="0"/>
      </w:pPr>
      <w:r>
        <w:rPr>
          <w:rFonts w:ascii="Verdana" w:hAnsi="Verdana" w:eastAsia="Verdana" w:cs="Verdana"/>
          <w:sz w:val="22"/>
        </w:rPr>
        <w:t xml:space="preserve">– Бежичне комуникације;</w:t>
      </w:r>
    </w:p>
    <w:p>
      <w:pPr>
        <w:spacing w:before="0" w:line="210" w:lineRule="atLeast"/>
        <w:ind w:left="0" w:right="0"/>
      </w:pPr>
      <w:r>
        <w:rPr>
          <w:rFonts w:ascii="Verdana" w:hAnsi="Verdana" w:eastAsia="Verdana" w:cs="Verdana"/>
          <w:sz w:val="22"/>
        </w:rPr>
        <w:t xml:space="preserve">– Продукција мултимедијалних садржаја.</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 </w:t>
      </w:r>
      <w:r>
        <w:rPr>
          <w:rFonts w:ascii="Verdana" w:hAnsi="Verdana" w:eastAsia="Verdana" w:cs="Verdana"/>
          <w:i/>
          <w:sz w:val="22"/>
        </w:rPr>
        <w:t xml:space="preserve">техничар мултимедија</w:t>
      </w:r>
      <w:r>
        <w:rPr>
          <w:rFonts w:ascii="Verdana" w:hAnsi="Verdana" w:eastAsia="Verdana" w:cs="Verdana"/>
          <w:sz w:val="22"/>
        </w:rPr>
        <w:t xml:space="preserve">.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квалификацију </w:t>
      </w:r>
      <w:r>
        <w:rPr>
          <w:rFonts w:ascii="Verdana" w:hAnsi="Verdana" w:eastAsia="Verdana" w:cs="Verdana"/>
          <w:i/>
          <w:sz w:val="22"/>
        </w:rPr>
        <w:t xml:space="preserve">техничар хортикултуре</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На матурском практичном раду ученик извршава </w:t>
      </w:r>
      <w:r>
        <w:rPr>
          <w:rFonts w:ascii="Verdana" w:hAnsi="Verdana" w:eastAsia="Verdana" w:cs="Verdana"/>
          <w:b/>
          <w:sz w:val="22"/>
        </w:rPr>
        <w:t xml:space="preserve">два радна задатка</w:t>
      </w:r>
      <w:r>
        <w:rPr>
          <w:rFonts w:ascii="Verdana" w:hAnsi="Verdana" w:eastAsia="Verdana" w:cs="Verdana"/>
          <w:sz w:val="22"/>
        </w:rPr>
        <w:t xml:space="preserve"> којим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Од стандардизованих радних задатака сачињава се одговарајући број комбинација радних задатака за матурски практични рад. На основу листе комбинација из Приручника, школа формира школску листу комбинација у сваком испитном року. Број комбинација у школској листи мора бити најмање за 10% већи од броја ученика у одељењу који полажу матурски практичан рад. Ученик извлачи комбинацију радних задатака на дан полагања матурског практичног рада.</w:t>
      </w:r>
    </w:p>
    <w:p>
      <w:pPr>
        <w:spacing w:before="0" w:line="210" w:lineRule="atLeast"/>
        <w:ind w:left="0" w:right="0"/>
      </w:pPr>
      <w:r>
        <w:rPr>
          <w:rFonts w:ascii="Verdana" w:hAnsi="Verdana" w:eastAsia="Verdana" w:cs="Verdana"/>
          <w:sz w:val="22"/>
        </w:rPr>
        <w:t xml:space="preserve">Сваки радни задатак може да се оцени са највише</w:t>
      </w:r>
      <w:r>
        <w:rPr>
          <w:rFonts w:ascii="Verdana" w:hAnsi="Verdana" w:eastAsia="Verdana" w:cs="Verdana"/>
          <w:sz w:val="22"/>
        </w:rPr>
        <w:t xml:space="preserve">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појединачном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по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0–99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100–124</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125–150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151–176</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177–200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техничар мултимедија</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савладаног програма за образовни профил техничар мултимедија</w:t>
      </w:r>
      <w:r>
        <w:rPr>
          <w:rFonts w:ascii="Verdana" w:hAnsi="Verdana" w:eastAsia="Verdana" w:cs="Verdana"/>
          <w:sz w:val="22"/>
        </w:rPr>
        <w:t xml:space="preserve">.</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ТЕХНИЧАР ТЕЛЕКОМУНИКАЦИОНИХ ТЕХНОЛОГИЈА</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w:t>
      </w:r>
      <w:r>
        <w:rPr>
          <w:rFonts w:ascii="Verdana" w:hAnsi="Verdana" w:eastAsia="Verdana" w:cs="Verdana"/>
          <w:b/>
          <w:sz w:val="22"/>
        </w:rPr>
        <w:t xml:space="preserve">техничар телекомуникационих технологија</w:t>
      </w:r>
      <w:r>
        <w:rPr>
          <w:rFonts w:ascii="Verdana" w:hAnsi="Verdana" w:eastAsia="Verdana" w:cs="Verdana"/>
          <w:sz w:val="22"/>
        </w:rPr>
        <w:t xml:space="preserve">, стекао стручне компетенције прописане Стандардом квалификације </w:t>
      </w:r>
      <w:r>
        <w:rPr>
          <w:rFonts w:ascii="Verdana" w:hAnsi="Verdana" w:eastAsia="Verdana" w:cs="Verdana"/>
          <w:i/>
          <w:sz w:val="22"/>
        </w:rPr>
        <w:t xml:space="preserve">– техничар телекомуникационих технологија</w:t>
      </w:r>
      <w:r>
        <w:rPr>
          <w:rFonts w:ascii="Verdana" w:hAnsi="Verdana" w:eastAsia="Verdana" w:cs="Verdana"/>
          <w:sz w:val="22"/>
        </w:rPr>
        <w:t xml:space="preserve"> („Службени гласник РС – Просветни гласник”, број 18/21).</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техничар телекомуникационих технологија</w:t>
      </w:r>
      <w:r>
        <w:rPr>
          <w:rFonts w:ascii="Verdana" w:hAnsi="Verdana" w:eastAsia="Verdana" w:cs="Verdana"/>
          <w:sz w:val="22"/>
        </w:rPr>
        <w:t xml:space="preserve">, 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техничар телекомуникационих технологија</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 техничар телекомуникационих технологија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стандардизовани радни задаци и образац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 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w:t>
      </w:r>
      <w:r>
        <w:rPr>
          <w:rFonts w:ascii="Verdana" w:hAnsi="Verdana" w:eastAsia="Verdana" w:cs="Verdana"/>
          <w:b/>
          <w:sz w:val="22"/>
        </w:rPr>
        <w:t xml:space="preserve">три дана</w:t>
      </w:r>
      <w:r>
        <w:rPr>
          <w:rFonts w:ascii="Verdana" w:hAnsi="Verdana" w:eastAsia="Verdana" w:cs="Verdana"/>
          <w:sz w:val="22"/>
        </w:rPr>
        <w:t xml:space="preserve">.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Електроника;</w:t>
      </w:r>
    </w:p>
    <w:p>
      <w:pPr>
        <w:spacing w:before="0" w:line="210" w:lineRule="atLeast"/>
        <w:ind w:left="0" w:right="0"/>
      </w:pPr>
      <w:r>
        <w:rPr>
          <w:rFonts w:ascii="Verdana" w:hAnsi="Verdana" w:eastAsia="Verdana" w:cs="Verdana"/>
          <w:sz w:val="22"/>
        </w:rPr>
        <w:t xml:space="preserve">– Обрада и пренос сигнала;</w:t>
      </w:r>
    </w:p>
    <w:p>
      <w:pPr>
        <w:spacing w:before="0" w:line="210" w:lineRule="atLeast"/>
        <w:ind w:left="0" w:right="0"/>
      </w:pPr>
      <w:r>
        <w:rPr>
          <w:rFonts w:ascii="Verdana" w:hAnsi="Verdana" w:eastAsia="Verdana" w:cs="Verdana"/>
          <w:sz w:val="22"/>
        </w:rPr>
        <w:t xml:space="preserve">– Основе рачунарских мрежа;</w:t>
      </w:r>
    </w:p>
    <w:p>
      <w:pPr>
        <w:spacing w:before="0" w:line="210" w:lineRule="atLeast"/>
        <w:ind w:left="0" w:right="0"/>
      </w:pPr>
      <w:r>
        <w:rPr>
          <w:rFonts w:ascii="Verdana" w:hAnsi="Verdana" w:eastAsia="Verdana" w:cs="Verdana"/>
          <w:sz w:val="22"/>
        </w:rPr>
        <w:t xml:space="preserve">– Бежичне комуникације;</w:t>
      </w:r>
    </w:p>
    <w:p>
      <w:pPr>
        <w:spacing w:before="0" w:line="210" w:lineRule="atLeast"/>
        <w:ind w:left="0" w:right="0"/>
      </w:pPr>
      <w:r>
        <w:rPr>
          <w:rFonts w:ascii="Verdana" w:hAnsi="Verdana" w:eastAsia="Verdana" w:cs="Verdana"/>
          <w:sz w:val="22"/>
        </w:rPr>
        <w:t xml:space="preserve">– Оптичка транспортна мрежа.</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 техничар телекомуникационих технологија.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квалификацију </w:t>
      </w:r>
      <w:r>
        <w:rPr>
          <w:rFonts w:ascii="Verdana" w:hAnsi="Verdana" w:eastAsia="Verdana" w:cs="Verdana"/>
          <w:i/>
          <w:sz w:val="22"/>
        </w:rPr>
        <w:t xml:space="preserve">техничар телекомуникационих технологија.</w:t>
      </w:r>
    </w:p>
    <w:p>
      <w:pPr>
        <w:spacing w:before="0" w:line="210" w:lineRule="atLeast"/>
        <w:ind w:left="0" w:right="0"/>
      </w:pPr>
      <w:r>
        <w:rPr>
          <w:rFonts w:ascii="Verdana" w:hAnsi="Verdana" w:eastAsia="Verdana" w:cs="Verdana"/>
          <w:sz w:val="22"/>
        </w:rPr>
        <w:t xml:space="preserve">На матурском практичном раду ученик извршава </w:t>
      </w:r>
      <w:r>
        <w:rPr>
          <w:rFonts w:ascii="Verdana" w:hAnsi="Verdana" w:eastAsia="Verdana" w:cs="Verdana"/>
          <w:b/>
          <w:sz w:val="22"/>
        </w:rPr>
        <w:t xml:space="preserve">један радни задатак</w:t>
      </w:r>
      <w:r>
        <w:rPr>
          <w:rFonts w:ascii="Verdana" w:hAnsi="Verdana" w:eastAsia="Verdana" w:cs="Verdana"/>
          <w:sz w:val="22"/>
        </w:rPr>
        <w:t xml:space="preserve"> којим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образац за оцењивање саставни су део Приручника.</w:t>
      </w:r>
    </w:p>
    <w:p>
      <w:pPr>
        <w:spacing w:before="0" w:line="210" w:lineRule="atLeast"/>
        <w:ind w:left="0" w:right="0"/>
      </w:pPr>
      <w:r>
        <w:rPr>
          <w:rFonts w:ascii="Verdana" w:hAnsi="Verdana" w:eastAsia="Verdana" w:cs="Verdana"/>
          <w:sz w:val="22"/>
        </w:rPr>
        <w:t xml:space="preserve">На основу листе радних задатака из Приручника, школа формира школску листу у сваком испитном року. Број радних задатака у школској листи мора бити најмање за 10% већи од броја ученика у одељењу који полажу матурски практичан рад. Ученик извлачи радни задатак на дан полагања матурског практичног рада.</w:t>
      </w:r>
    </w:p>
    <w:p>
      <w:pPr>
        <w:spacing w:before="0" w:line="210" w:lineRule="atLeast"/>
        <w:ind w:left="0" w:right="0"/>
      </w:pPr>
      <w:r>
        <w:rPr>
          <w:rFonts w:ascii="Verdana" w:hAnsi="Verdana" w:eastAsia="Verdana" w:cs="Verdana"/>
          <w:sz w:val="22"/>
        </w:rPr>
        <w:t xml:space="preserve">Радни задатак може да се оцени највише са 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на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техничар телекомуникационих технологија</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савладаног програма за образовни профил техничар телекомуникационих технологија</w:t>
      </w:r>
      <w:r>
        <w:rPr>
          <w:rFonts w:ascii="Verdana" w:hAnsi="Verdana" w:eastAsia="Verdana" w:cs="Verdana"/>
          <w:sz w:val="22"/>
        </w:rPr>
        <w:t xml:space="preserve">.</w:t>
      </w:r>
    </w:p>
  </w:body>
</w:document>
</file>

<file path=word/_rels/document.xml.rels>&#65279;<?xml version="1.0" encoding="utf-8"?><Relationships xmlns="http://schemas.openxmlformats.org/package/2006/relationships"><Relationship Type="http://schemas.openxmlformats.org/officeDocument/2006/relationships/hyperlink" Target="https://pravno-informacioni-sistem.rs" TargetMode="External" Id="R56a02231031b4c18" /></Relationships>
</file>