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450bf1f748a489f" /></Relationships>
</file>

<file path=word/document.xml><?xml version="1.0" encoding="utf-8"?>
<w:document xmlns:w="http://schemas.openxmlformats.org/wordprocessingml/2006/main">
  <w:body>
    <w:sectPr>
      <w:pgSz w:w="11906" w:h="16838" w:orient="portrait"/>
      <w:pgMar w:top="1440" w:right="1440" w:bottom="1440" w:left="1440"/>
    </w:sectPr>
    <w:p>
      <w:pPr>
        <w:spacing w:before="0" w:line="210" w:lineRule="atLeast"/>
        <w:ind w:left="0" w:right="0"/>
      </w:pPr>
      <w:r>
        <w:rPr>
          <w:rFonts w:ascii="Verdana" w:hAnsi="Verdana" w:eastAsia="Verdana" w:cs="Verdana"/>
          <w:color w:val="000000"/>
          <w:sz w:val="22"/>
        </w:rPr>
        <w:t xml:space="preserve">Преузето са </w:t>
      </w:r>
      <w:hyperlink xmlns:r="http://schemas.openxmlformats.org/officeDocument/2006/relationships" w:history="true" r:id="Rfc46a0b794ca4e54">
        <w:r>
          <w:rPr>
            <w:rStyle w:val="Hyperlink"/>
            <w:rFonts w:ascii="Verdana" w:hAnsi="Verdana" w:eastAsia="Verdana" w:cs="Verdana"/>
            <w:color w:val="337ab7"/>
            <w:sz w:val="22"/>
          </w:rPr>
          <w:t xml:space="preserve">https://pravno-informacioni-sistem.rs</w:t>
        </w:r>
      </w:hyperlink>
    </w:p>
    <w:p>
      <w:pPr>
        <w:spacing w:before="0" w:line="210" w:lineRule="atLeast"/>
        <w:ind w:left="0" w:right="0"/>
      </w:pPr>
      <w:r>
        <w:rPr>
          <w:rFonts w:ascii="Verdana" w:hAnsi="Verdana" w:eastAsia="Verdana" w:cs="Verdana"/>
          <w:color w:val="000000"/>
          <w:sz w:val="22"/>
        </w:rPr>
        <w:t xml:space="preserve">Просветни гласник 2/2026, Датум: 14.5.2026.</w:t>
      </w:r>
    </w:p>
    <w:p>
      <w:pPr>
        <w:spacing w:before="0" w:line="210" w:lineRule="atLeast"/>
        <w:ind w:left="0" w:right="0"/>
        <w:jc w:val="center"/>
      </w:pPr>
      <w:r>
        <w:rPr>
          <w:rFonts w:ascii="Verdana" w:hAnsi="Verdana" w:eastAsia="Verdana" w:cs="Verdana"/>
          <w:b/>
          <w:sz w:val="22"/>
        </w:rPr>
        <w:t xml:space="preserve">1</w:t>
      </w:r>
    </w:p>
    <w:p>
      <w:pPr>
        <w:spacing w:before="0" w:line="210" w:lineRule="atLeast"/>
        <w:ind w:left="0" w:right="0"/>
      </w:pPr>
      <w:r>
        <w:rPr>
          <w:rFonts w:ascii="Verdana" w:hAnsi="Verdana" w:eastAsia="Verdana" w:cs="Verdana"/>
          <w:sz w:val="22"/>
        </w:rPr>
        <w:t xml:space="preserve">На основу члана 67. став 4. Закона о основама система образовања и васпитања („Службени гласник РС”, бр. 88/17, 27/18 – др. закон, 10/19, 6/20, 129/21, 92/23 и 19/25),</w:t>
      </w:r>
    </w:p>
    <w:p>
      <w:pPr>
        <w:spacing w:before="0" w:line="210" w:lineRule="atLeast"/>
        <w:ind w:left="0" w:right="0"/>
      </w:pPr>
      <w:r>
        <w:rPr>
          <w:rFonts w:ascii="Verdana" w:hAnsi="Verdana" w:eastAsia="Verdana" w:cs="Verdana"/>
          <w:sz w:val="22"/>
        </w:rPr>
        <w:t xml:space="preserve">Министар просвете доноси</w:t>
      </w:r>
    </w:p>
    <w:p>
      <w:pPr>
        <w:spacing w:before="0" w:line="210" w:lineRule="atLeast"/>
        <w:ind w:left="0" w:right="0"/>
        <w:jc w:val="center"/>
      </w:pPr>
      <w:r>
        <w:rPr>
          <w:rFonts w:ascii="Verdana" w:hAnsi="Verdana" w:eastAsia="Verdana" w:cs="Verdana"/>
          <w:b/>
          <w:sz w:val="22"/>
        </w:rPr>
        <w:t xml:space="preserve">ПРАВИЛНИК</w:t>
      </w:r>
    </w:p>
    <w:p>
      <w:pPr>
        <w:spacing w:before="0" w:line="210" w:lineRule="atLeast"/>
        <w:ind w:left="0" w:right="0"/>
        <w:jc w:val="center"/>
      </w:pPr>
      <w:r>
        <w:rPr>
          <w:rFonts w:ascii="Verdana" w:hAnsi="Verdana" w:eastAsia="Verdana" w:cs="Verdana"/>
          <w:b/>
          <w:sz w:val="22"/>
        </w:rPr>
        <w:t xml:space="preserve">о допунама Правилника о плану и програму наставе и учења стручних предмета средњег стручног образовања у подручју рада Саобраћај</w:t>
      </w:r>
    </w:p>
    <w:p>
      <w:pPr>
        <w:spacing w:before="0" w:line="210" w:lineRule="atLeast"/>
        <w:ind w:left="0" w:right="0"/>
        <w:jc w:val="center"/>
      </w:pPr>
      <w:r>
        <w:rPr>
          <w:rFonts w:ascii="Verdana" w:hAnsi="Verdana" w:eastAsia="Verdana" w:cs="Verdana"/>
          <w:sz w:val="22"/>
        </w:rPr>
        <w:t xml:space="preserve">Члан 1.</w:t>
      </w:r>
    </w:p>
    <w:p>
      <w:pPr>
        <w:spacing w:before="0" w:line="210" w:lineRule="atLeast"/>
        <w:ind w:left="0" w:right="0"/>
      </w:pPr>
      <w:r>
        <w:rPr>
          <w:rFonts w:ascii="Verdana" w:hAnsi="Verdana" w:eastAsia="Verdana" w:cs="Verdana"/>
          <w:sz w:val="22"/>
        </w:rPr>
        <w:t xml:space="preserve">У Правилнику о плану и програму наставе и учења стручних предмета средњег стручног образовања у подручју рада Саобраћај („Службени гласник РС – Просветни гласник”, бр. 8/18, 15/18, 4/19, 7/19, 5/20, 15/20 – исправка, 8/21, 2/22, 12/22, 3/23, 10/23, 5/24, 8/24, 13/24 и 5/25), у делу: „ПЛАН И ПРОГРАМ НАСТАВЕ И УЧЕЊА ЗА ОБРАЗОВНИ ПРОФИЛ ТЕХНИЧАР БЕЗБЕДНОСТИ ЖЕЛЕЗНИЧКОГ САОБРАЋАЈА”, после програма предмета: „РОБОТИКА И СИСТЕМИ АУТОМАТСКОГ УПРАВЉАЊА”, додаје се: „Програм матурског испита за образовни профил техничар безбедности железничког саобраћаја”.</w:t>
      </w:r>
    </w:p>
    <w:p>
      <w:pPr>
        <w:spacing w:before="0" w:line="210" w:lineRule="atLeast"/>
        <w:ind w:left="0" w:right="0"/>
      </w:pPr>
      <w:r>
        <w:rPr>
          <w:rFonts w:ascii="Verdana" w:hAnsi="Verdana" w:eastAsia="Verdana" w:cs="Verdana"/>
          <w:sz w:val="22"/>
        </w:rPr>
        <w:t xml:space="preserve">У делу: „ПЛАН И ПРОГРАМ НАСТАВЕ И УЧЕЊА ЗА ОБРАЗОВНИ ПРОФИЛ ТЕХНИЧАР УПРАВЉАЊА ЖЕЛЕЗНИЧКИМ САОБРАЋАЈЕМ”, после програма предмета: „СТРУЧНИ ЕНГЛЕСКИ ЈЕЗИК”, додаје се: „Програм матурског испита за образовни профил техничар управљања железничким саобраћајем”.</w:t>
      </w:r>
    </w:p>
    <w:p>
      <w:pPr>
        <w:spacing w:before="0" w:line="210" w:lineRule="atLeast"/>
        <w:ind w:left="0" w:right="0"/>
      </w:pPr>
      <w:r>
        <w:rPr>
          <w:rFonts w:ascii="Verdana" w:hAnsi="Verdana" w:eastAsia="Verdana" w:cs="Verdana"/>
          <w:sz w:val="22"/>
        </w:rPr>
        <w:t xml:space="preserve">У делу: „ПЛАН И ПРОГРАМ НАСТАВЕ И УЧЕЊА ЗА ОБРАЗОВНИ ПРОФИЛ ТРАНСПОРТНИ ТЕХНИЧАР У ЖЕЛЕЗНИЧКОМ САОБРАЋАЈУ”, после програма предмета: „САВРЕМЕНЕ ТЕХНОЛОГИЈЕ ТРАНСПОРТА”, додаје се: „Програм матурског испита за образовни профил транспортни техничар у железничком саобраћају”.</w:t>
      </w:r>
    </w:p>
    <w:p>
      <w:pPr>
        <w:spacing w:before="0" w:line="210" w:lineRule="atLeast"/>
        <w:ind w:left="0" w:right="0"/>
        <w:jc w:val="center"/>
      </w:pPr>
      <w:r>
        <w:rPr>
          <w:rFonts w:ascii="Verdana" w:hAnsi="Verdana" w:eastAsia="Verdana" w:cs="Verdana"/>
          <w:sz w:val="22"/>
        </w:rPr>
        <w:t xml:space="preserve">Члан 2.</w:t>
      </w:r>
    </w:p>
    <w:p>
      <w:pPr>
        <w:spacing w:before="0" w:line="210" w:lineRule="atLeast"/>
        <w:ind w:left="0" w:right="0"/>
      </w:pPr>
      <w:r>
        <w:rPr>
          <w:rFonts w:ascii="Verdana" w:hAnsi="Verdana" w:eastAsia="Verdana" w:cs="Verdana"/>
          <w:sz w:val="22"/>
        </w:rPr>
        <w:t xml:space="preserve">Програми из члана 1. овог правилника, одштампани су уз овај правилник и чине његов саставни део.</w:t>
      </w:r>
    </w:p>
    <w:p>
      <w:pPr>
        <w:spacing w:before="0" w:line="210" w:lineRule="atLeast"/>
        <w:ind w:left="0" w:right="0"/>
        <w:jc w:val="center"/>
      </w:pPr>
      <w:r>
        <w:rPr>
          <w:rFonts w:ascii="Verdana" w:hAnsi="Verdana" w:eastAsia="Verdana" w:cs="Verdana"/>
          <w:sz w:val="22"/>
        </w:rPr>
        <w:t xml:space="preserve">Члан 3.</w:t>
      </w:r>
    </w:p>
    <w:p>
      <w:pPr>
        <w:spacing w:before="0" w:line="210" w:lineRule="atLeast"/>
        <w:ind w:left="0" w:right="0"/>
      </w:pPr>
      <w:r>
        <w:rPr>
          <w:rFonts w:ascii="Verdana" w:hAnsi="Verdana" w:eastAsia="Verdana" w:cs="Verdana"/>
          <w:sz w:val="22"/>
        </w:rPr>
        <w:t xml:space="preserve">Овај правилник ступа на снагу осмог дана од дана објављивања у „Службеном гласнику Републике Србије – Просветном гласнику”.</w:t>
      </w:r>
    </w:p>
    <w:p>
      <w:pPr>
        <w:spacing w:before="0" w:line="210" w:lineRule="atLeast"/>
        <w:ind w:left="0" w:right="0"/>
        <w:jc w:val="right"/>
      </w:pPr>
      <w:r>
        <w:rPr>
          <w:rFonts w:ascii="Verdana" w:hAnsi="Verdana" w:eastAsia="Verdana" w:cs="Verdana"/>
          <w:sz w:val="22"/>
        </w:rPr>
        <w:t xml:space="preserve">Број 110-00-38/2026-03</w:t>
      </w:r>
    </w:p>
    <w:p>
      <w:pPr>
        <w:spacing w:before="0" w:line="210" w:lineRule="atLeast"/>
        <w:ind w:left="0" w:right="0"/>
        <w:jc w:val="right"/>
      </w:pPr>
      <w:r>
        <w:rPr>
          <w:rFonts w:ascii="Verdana" w:hAnsi="Verdana" w:eastAsia="Verdana" w:cs="Verdana"/>
          <w:sz w:val="22"/>
        </w:rPr>
        <w:t xml:space="preserve">У Београду, 4. маја 2026. године</w:t>
      </w:r>
    </w:p>
    <w:p>
      <w:pPr>
        <w:spacing w:before="0" w:line="210" w:lineRule="atLeast"/>
        <w:ind w:left="0" w:right="0"/>
        <w:jc w:val="right"/>
      </w:pPr>
      <w:r>
        <w:rPr>
          <w:rFonts w:ascii="Verdana" w:hAnsi="Verdana" w:eastAsia="Verdana" w:cs="Verdana"/>
          <w:sz w:val="22"/>
        </w:rPr>
        <w:t xml:space="preserve">Министар,</w:t>
      </w:r>
    </w:p>
    <w:p>
      <w:pPr>
        <w:spacing w:before="0" w:line="210" w:lineRule="atLeast"/>
        <w:ind w:left="0" w:right="0"/>
        <w:jc w:val="right"/>
      </w:pPr>
      <w:r>
        <w:rPr>
          <w:rFonts w:ascii="Verdana" w:hAnsi="Verdana" w:eastAsia="Verdana" w:cs="Verdana"/>
          <w:sz w:val="22"/>
        </w:rPr>
        <w:t xml:space="preserve">проф. др </w:t>
      </w:r>
      <w:r>
        <w:rPr>
          <w:rFonts w:ascii="Verdana" w:hAnsi="Verdana" w:eastAsia="Verdana" w:cs="Verdana"/>
          <w:b/>
          <w:sz w:val="22"/>
        </w:rPr>
        <w:t xml:space="preserve">Дејан Вук Станковић,</w:t>
      </w:r>
      <w:r>
        <w:rPr>
          <w:rFonts w:ascii="Verdana" w:hAnsi="Verdana" w:eastAsia="Verdana" w:cs="Verdana"/>
          <w:sz w:val="22"/>
        </w:rPr>
        <w:t xml:space="preserve"> с.р.</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ТЕХНИЧАР БЕЗБЕДНОСТИ ЖЕЛЕЗНИЧКОГ САОБРАЋАЈА</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w:t>
      </w:r>
      <w:r>
        <w:rPr>
          <w:rFonts w:ascii="Verdana" w:hAnsi="Verdana" w:eastAsia="Verdana" w:cs="Verdana"/>
          <w:b/>
          <w:sz w:val="22"/>
        </w:rPr>
        <w:t xml:space="preserve">техничар безбедности железничког саобраћаја</w:t>
      </w:r>
      <w:r>
        <w:rPr>
          <w:rFonts w:ascii="Verdana" w:hAnsi="Verdana" w:eastAsia="Verdana" w:cs="Verdana"/>
          <w:sz w:val="22"/>
        </w:rPr>
        <w:t xml:space="preserve">, стекао стручне компетенције прописане Стандардом квалификације </w:t>
      </w:r>
      <w:r>
        <w:rPr>
          <w:rFonts w:ascii="Verdana" w:hAnsi="Verdana" w:eastAsia="Verdana" w:cs="Verdana"/>
          <w:i/>
          <w:sz w:val="22"/>
        </w:rPr>
        <w:t xml:space="preserve">– техничар безбедности железничког саобраћаја</w:t>
      </w:r>
      <w:r>
        <w:rPr>
          <w:rFonts w:ascii="Verdana" w:hAnsi="Verdana" w:eastAsia="Verdana" w:cs="Verdana"/>
          <w:sz w:val="22"/>
        </w:rPr>
        <w:t xml:space="preserve"> („Службени гласник РС – Просветни гласник”, број 4/22).</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техничар безбедности железничког саобраћаја</w:t>
      </w:r>
      <w:r>
        <w:rPr>
          <w:rFonts w:ascii="Verdana" w:hAnsi="Verdana" w:eastAsia="Verdana" w:cs="Verdana"/>
          <w:sz w:val="22"/>
        </w:rPr>
        <w:t xml:space="preserve">, 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техничар безбедности железничког саобраћаја</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w:t>
      </w:r>
      <w:r>
        <w:rPr>
          <w:rFonts w:ascii="Verdana" w:hAnsi="Verdana" w:eastAsia="Verdana" w:cs="Verdana"/>
          <w:sz w:val="22"/>
        </w:rPr>
        <w:t xml:space="preserve">техничар безбедности железничког саобраћаја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стандардизовани радни задаци и образац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 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w:t>
      </w:r>
      <w:r>
        <w:rPr>
          <w:rFonts w:ascii="Verdana" w:hAnsi="Verdana" w:eastAsia="Verdana" w:cs="Verdana"/>
          <w:b/>
          <w:sz w:val="22"/>
        </w:rPr>
        <w:t xml:space="preserve">три дана</w:t>
      </w:r>
      <w:r>
        <w:rPr>
          <w:rFonts w:ascii="Verdana" w:hAnsi="Verdana" w:eastAsia="Verdana" w:cs="Verdana"/>
          <w:sz w:val="22"/>
        </w:rPr>
        <w:t xml:space="preserve">.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Технологија железничког саобраћаја;</w:t>
      </w:r>
    </w:p>
    <w:p>
      <w:pPr>
        <w:spacing w:before="0" w:line="210" w:lineRule="atLeast"/>
        <w:ind w:left="0" w:right="0"/>
      </w:pPr>
      <w:r>
        <w:rPr>
          <w:rFonts w:ascii="Verdana" w:hAnsi="Verdana" w:eastAsia="Verdana" w:cs="Verdana"/>
          <w:sz w:val="22"/>
        </w:rPr>
        <w:t xml:space="preserve">– Безбедност вученог возила;</w:t>
      </w:r>
    </w:p>
    <w:p>
      <w:pPr>
        <w:spacing w:before="0" w:line="210" w:lineRule="atLeast"/>
        <w:ind w:left="0" w:right="0"/>
      </w:pPr>
      <w:r>
        <w:rPr>
          <w:rFonts w:ascii="Verdana" w:hAnsi="Verdana" w:eastAsia="Verdana" w:cs="Verdana"/>
          <w:sz w:val="22"/>
        </w:rPr>
        <w:t xml:space="preserve">– Вучена возила;</w:t>
      </w:r>
    </w:p>
    <w:p>
      <w:pPr>
        <w:spacing w:before="0" w:line="210" w:lineRule="atLeast"/>
        <w:ind w:left="0" w:right="0"/>
      </w:pPr>
      <w:r>
        <w:rPr>
          <w:rFonts w:ascii="Verdana" w:hAnsi="Verdana" w:eastAsia="Verdana" w:cs="Verdana"/>
          <w:sz w:val="22"/>
        </w:rPr>
        <w:t xml:space="preserve">– Кочнице и кочење;</w:t>
      </w:r>
    </w:p>
    <w:p>
      <w:pPr>
        <w:spacing w:before="0" w:line="210" w:lineRule="atLeast"/>
        <w:ind w:left="0" w:right="0"/>
      </w:pPr>
      <w:r>
        <w:rPr>
          <w:rFonts w:ascii="Verdana" w:hAnsi="Verdana" w:eastAsia="Verdana" w:cs="Verdana"/>
          <w:sz w:val="22"/>
        </w:rPr>
        <w:t xml:space="preserve">– Основе саобраћаја и транспорта.</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 техничар безбедности железничког саобраћаја.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квалификацију </w:t>
      </w:r>
      <w:r>
        <w:rPr>
          <w:rFonts w:ascii="Verdana" w:hAnsi="Verdana" w:eastAsia="Verdana" w:cs="Verdana"/>
          <w:i/>
          <w:sz w:val="22"/>
        </w:rPr>
        <w:t xml:space="preserve">профил техничар безбедности железничког саобраћаја.</w:t>
      </w:r>
    </w:p>
    <w:p>
      <w:pPr>
        <w:spacing w:before="0" w:line="210" w:lineRule="atLeast"/>
        <w:ind w:left="0" w:right="0"/>
      </w:pPr>
      <w:r>
        <w:rPr>
          <w:rFonts w:ascii="Verdana" w:hAnsi="Verdana" w:eastAsia="Verdana" w:cs="Verdana"/>
          <w:sz w:val="22"/>
        </w:rPr>
        <w:t xml:space="preserve">На матурском практичном раду ученик извршава </w:t>
      </w:r>
      <w:r>
        <w:rPr>
          <w:rFonts w:ascii="Verdana" w:hAnsi="Verdana" w:eastAsia="Verdana" w:cs="Verdana"/>
          <w:b/>
          <w:sz w:val="22"/>
        </w:rPr>
        <w:t xml:space="preserve">један радни задатак</w:t>
      </w:r>
      <w:r>
        <w:rPr>
          <w:rFonts w:ascii="Verdana" w:hAnsi="Verdana" w:eastAsia="Verdana" w:cs="Verdana"/>
          <w:sz w:val="22"/>
        </w:rPr>
        <w:t xml:space="preserve"> којим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образац за оцењивање саставни су део Приручника.</w:t>
      </w:r>
    </w:p>
    <w:p>
      <w:pPr>
        <w:spacing w:before="0" w:line="210" w:lineRule="atLeast"/>
        <w:ind w:left="0" w:right="0"/>
      </w:pPr>
      <w:r>
        <w:rPr>
          <w:rFonts w:ascii="Verdana" w:hAnsi="Verdana" w:eastAsia="Verdana" w:cs="Verdana"/>
          <w:sz w:val="22"/>
        </w:rPr>
        <w:t xml:space="preserve">На основу листе радних задатака из Приручника, школа формира школску листу у сваком испитном року. Број радних задатака у школској листи мора бити најмање за 10% већи од броја ученика у одељењу који полажу матурски практичан рад. Ученик извлачи радни задатак на дан полагања матурског практичног рада.</w:t>
      </w:r>
    </w:p>
    <w:p>
      <w:pPr>
        <w:spacing w:before="0" w:line="210" w:lineRule="atLeast"/>
        <w:ind w:left="0" w:right="0"/>
      </w:pPr>
      <w:r>
        <w:rPr>
          <w:rFonts w:ascii="Verdana" w:hAnsi="Verdana" w:eastAsia="Verdana" w:cs="Verdana"/>
          <w:sz w:val="22"/>
        </w:rPr>
        <w:t xml:space="preserve">Радни задатак може да се оцени највише са 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на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техничар безбедности железничког саобраћаја.</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савладаног програма за образовни профил техничар безбеднос</w:t>
      </w:r>
      <w:r>
        <w:rPr>
          <w:rFonts w:ascii="Verdana" w:hAnsi="Verdana" w:eastAsia="Verdana" w:cs="Verdana"/>
          <w:i/>
          <w:sz w:val="22"/>
        </w:rPr>
        <w:t xml:space="preserve">ти железничког саобраћаја.</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ТЕХНИЧАР УПРАВЉАЊА ЖЕЛЕЗНИЧКИМ САОБРАЋАЈЕМ</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w:t>
      </w:r>
      <w:r>
        <w:rPr>
          <w:rFonts w:ascii="Verdana" w:hAnsi="Verdana" w:eastAsia="Verdana" w:cs="Verdana"/>
          <w:b/>
          <w:sz w:val="22"/>
        </w:rPr>
        <w:t xml:space="preserve">техничар управљања железничким саобраћајем</w:t>
      </w:r>
      <w:r>
        <w:rPr>
          <w:rFonts w:ascii="Verdana" w:hAnsi="Verdana" w:eastAsia="Verdana" w:cs="Verdana"/>
          <w:sz w:val="22"/>
        </w:rPr>
        <w:t xml:space="preserve">, стекао стручне компетенције прописане Стандардом квалификације </w:t>
      </w:r>
      <w:r>
        <w:rPr>
          <w:rFonts w:ascii="Verdana" w:hAnsi="Verdana" w:eastAsia="Verdana" w:cs="Verdana"/>
          <w:i/>
          <w:sz w:val="22"/>
        </w:rPr>
        <w:t xml:space="preserve">– техничар управљања железничким саобраћајем</w:t>
      </w:r>
      <w:r>
        <w:rPr>
          <w:rFonts w:ascii="Verdana" w:hAnsi="Verdana" w:eastAsia="Verdana" w:cs="Verdana"/>
          <w:sz w:val="22"/>
        </w:rPr>
        <w:t xml:space="preserve"> („Службени гласник РС – Просветни гласник”, број 4/22).</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техничар управљања железничким саобраћајем</w:t>
      </w:r>
      <w:r>
        <w:rPr>
          <w:rFonts w:ascii="Verdana" w:hAnsi="Verdana" w:eastAsia="Verdana" w:cs="Verdana"/>
          <w:sz w:val="22"/>
        </w:rPr>
        <w:t xml:space="preserve">, 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техничар управљања железничким саобраћајем</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w:t>
      </w:r>
      <w:r>
        <w:rPr>
          <w:rFonts w:ascii="Verdana" w:hAnsi="Verdana" w:eastAsia="Verdana" w:cs="Verdana"/>
          <w:sz w:val="22"/>
        </w:rPr>
        <w:t xml:space="preserve">техничар управљања железничким саобраћајем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стандардизовани радни задаци и образац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 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w:t>
      </w:r>
      <w:r>
        <w:rPr>
          <w:rFonts w:ascii="Verdana" w:hAnsi="Verdana" w:eastAsia="Verdana" w:cs="Verdana"/>
          <w:b/>
          <w:sz w:val="22"/>
        </w:rPr>
        <w:t xml:space="preserve">три дана</w:t>
      </w:r>
      <w:r>
        <w:rPr>
          <w:rFonts w:ascii="Verdana" w:hAnsi="Verdana" w:eastAsia="Verdana" w:cs="Verdana"/>
          <w:sz w:val="22"/>
        </w:rPr>
        <w:t xml:space="preserve">.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Организација железничког саобраћаја;</w:t>
      </w:r>
    </w:p>
    <w:p>
      <w:pPr>
        <w:spacing w:before="0" w:line="210" w:lineRule="atLeast"/>
        <w:ind w:left="0" w:right="0"/>
      </w:pPr>
      <w:r>
        <w:rPr>
          <w:rFonts w:ascii="Verdana" w:hAnsi="Verdana" w:eastAsia="Verdana" w:cs="Verdana"/>
          <w:sz w:val="22"/>
        </w:rPr>
        <w:t xml:space="preserve">– Технички системи безбедности железничког саобраћаја;</w:t>
      </w:r>
    </w:p>
    <w:p>
      <w:pPr>
        <w:spacing w:before="0" w:line="210" w:lineRule="atLeast"/>
        <w:ind w:left="0" w:right="0"/>
      </w:pPr>
      <w:r>
        <w:rPr>
          <w:rFonts w:ascii="Verdana" w:hAnsi="Verdana" w:eastAsia="Verdana" w:cs="Verdana"/>
          <w:sz w:val="22"/>
        </w:rPr>
        <w:t xml:space="preserve">– Управљање железничким саобраћајем;</w:t>
      </w:r>
    </w:p>
    <w:p>
      <w:pPr>
        <w:spacing w:before="0" w:line="210" w:lineRule="atLeast"/>
        <w:ind w:left="0" w:right="0"/>
      </w:pPr>
      <w:r>
        <w:rPr>
          <w:rFonts w:ascii="Verdana" w:hAnsi="Verdana" w:eastAsia="Verdana" w:cs="Verdana"/>
          <w:sz w:val="22"/>
        </w:rPr>
        <w:t xml:space="preserve">– Основе саобраћаја и транспорта.</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 профил</w:t>
      </w:r>
      <w:r>
        <w:rPr>
          <w:rFonts w:ascii="Verdana" w:hAnsi="Verdana" w:eastAsia="Verdana" w:cs="Verdana"/>
          <w:sz w:val="22"/>
        </w:rPr>
        <w:t xml:space="preserve">техничар управљања железничким саобраћајем.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квалификацију </w:t>
      </w:r>
      <w:r>
        <w:rPr>
          <w:rFonts w:ascii="Verdana" w:hAnsi="Verdana" w:eastAsia="Verdana" w:cs="Verdana"/>
          <w:i/>
          <w:sz w:val="22"/>
        </w:rPr>
        <w:t xml:space="preserve">профил техничар управљања железничким саобраћајем.</w:t>
      </w:r>
    </w:p>
    <w:p>
      <w:pPr>
        <w:spacing w:before="0" w:line="210" w:lineRule="atLeast"/>
        <w:ind w:left="0" w:right="0"/>
      </w:pPr>
      <w:r>
        <w:rPr>
          <w:rFonts w:ascii="Verdana" w:hAnsi="Verdana" w:eastAsia="Verdana" w:cs="Verdana"/>
          <w:sz w:val="22"/>
        </w:rPr>
        <w:t xml:space="preserve">На матурском практичном раду ученик извршава </w:t>
      </w:r>
      <w:r>
        <w:rPr>
          <w:rFonts w:ascii="Verdana" w:hAnsi="Verdana" w:eastAsia="Verdana" w:cs="Verdana"/>
          <w:b/>
          <w:sz w:val="22"/>
        </w:rPr>
        <w:t xml:space="preserve">један радни задатак</w:t>
      </w:r>
      <w:r>
        <w:rPr>
          <w:rFonts w:ascii="Verdana" w:hAnsi="Verdana" w:eastAsia="Verdana" w:cs="Verdana"/>
          <w:sz w:val="22"/>
        </w:rPr>
        <w:t xml:space="preserve"> којим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образац за оцењивање саставни су део Приручника.</w:t>
      </w:r>
    </w:p>
    <w:p>
      <w:pPr>
        <w:spacing w:before="0" w:line="210" w:lineRule="atLeast"/>
        <w:ind w:left="0" w:right="0"/>
      </w:pPr>
      <w:r>
        <w:rPr>
          <w:rFonts w:ascii="Verdana" w:hAnsi="Verdana" w:eastAsia="Verdana" w:cs="Verdana"/>
          <w:sz w:val="22"/>
        </w:rPr>
        <w:t xml:space="preserve">На основу листе радних задатака из Приручника, школа формира школску листу у сваком испитном року. Број радних задатака у школској листи мора бити најмање за 10% већи од броја ученика у одељењу који полажу матурски практичан рад. Ученик извлачи радни задатак на дан полагања матурског практичног рада.</w:t>
      </w:r>
    </w:p>
    <w:p>
      <w:pPr>
        <w:spacing w:before="0" w:line="210" w:lineRule="atLeast"/>
        <w:ind w:left="0" w:right="0"/>
      </w:pPr>
      <w:r>
        <w:rPr>
          <w:rFonts w:ascii="Verdana" w:hAnsi="Verdana" w:eastAsia="Verdana" w:cs="Verdana"/>
          <w:sz w:val="22"/>
        </w:rPr>
        <w:t xml:space="preserve">Радни задатак може да се оцени највише са 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на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техничар управљања железничким саобраћајем.</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савладаног програма за образовни профил техничар управљања железни</w:t>
      </w:r>
      <w:r>
        <w:rPr>
          <w:rFonts w:ascii="Verdana" w:hAnsi="Verdana" w:eastAsia="Verdana" w:cs="Verdana"/>
          <w:i/>
          <w:sz w:val="22"/>
        </w:rPr>
        <w:t xml:space="preserve">чким саобраћајем.</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ТРАНСПОРТНИ ТЕХНИЧАР У ЖЕЛЕЗНИЧКОМ САОБРАЋАЈУ</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w:t>
      </w:r>
      <w:r>
        <w:rPr>
          <w:rFonts w:ascii="Verdana" w:hAnsi="Verdana" w:eastAsia="Verdana" w:cs="Verdana"/>
          <w:b/>
          <w:sz w:val="22"/>
        </w:rPr>
        <w:t xml:space="preserve">транспортни техничар у железничком саобраћају</w:t>
      </w:r>
      <w:r>
        <w:rPr>
          <w:rFonts w:ascii="Verdana" w:hAnsi="Verdana" w:eastAsia="Verdana" w:cs="Verdana"/>
          <w:sz w:val="22"/>
        </w:rPr>
        <w:t xml:space="preserve">, стекао стручне компетенције прописане Стандардом квалификације </w:t>
      </w:r>
      <w:r>
        <w:rPr>
          <w:rFonts w:ascii="Verdana" w:hAnsi="Verdana" w:eastAsia="Verdana" w:cs="Verdana"/>
          <w:i/>
          <w:sz w:val="22"/>
        </w:rPr>
        <w:t xml:space="preserve">– транспортни техничар у железничком саобраћају</w:t>
      </w:r>
      <w:r>
        <w:rPr>
          <w:rFonts w:ascii="Verdana" w:hAnsi="Verdana" w:eastAsia="Verdana" w:cs="Verdana"/>
          <w:sz w:val="22"/>
        </w:rPr>
        <w:t xml:space="preserve"> („Службени гласник РС – Просветни гласник”, број 4/22).</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транспортни техничар у железничком саобраћају</w:t>
      </w:r>
      <w:r>
        <w:rPr>
          <w:rFonts w:ascii="Verdana" w:hAnsi="Verdana" w:eastAsia="Verdana" w:cs="Verdana"/>
          <w:sz w:val="22"/>
        </w:rPr>
        <w:t xml:space="preserve">, 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транспортни техничар у железничком саобраћају</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 транспортни техничар у железничком саобраћају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и комбинација, стандардизовани радни задаци и образац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 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w:t>
      </w:r>
      <w:r>
        <w:rPr>
          <w:rFonts w:ascii="Verdana" w:hAnsi="Verdana" w:eastAsia="Verdana" w:cs="Verdana"/>
          <w:b/>
          <w:sz w:val="22"/>
        </w:rPr>
        <w:t xml:space="preserve">четири дана</w:t>
      </w:r>
      <w:r>
        <w:rPr>
          <w:rFonts w:ascii="Verdana" w:hAnsi="Verdana" w:eastAsia="Verdana" w:cs="Verdana"/>
          <w:sz w:val="22"/>
        </w:rPr>
        <w:t xml:space="preserve">.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Технологија превоза путника;</w:t>
      </w:r>
    </w:p>
    <w:p>
      <w:pPr>
        <w:spacing w:before="0" w:line="210" w:lineRule="atLeast"/>
        <w:ind w:left="0" w:right="0"/>
      </w:pPr>
      <w:r>
        <w:rPr>
          <w:rFonts w:ascii="Verdana" w:hAnsi="Verdana" w:eastAsia="Verdana" w:cs="Verdana"/>
          <w:sz w:val="22"/>
        </w:rPr>
        <w:t xml:space="preserve">– Технологија робног превоза;</w:t>
      </w:r>
    </w:p>
    <w:p>
      <w:pPr>
        <w:spacing w:before="0" w:line="210" w:lineRule="atLeast"/>
        <w:ind w:left="0" w:right="0"/>
      </w:pPr>
      <w:r>
        <w:rPr>
          <w:rFonts w:ascii="Verdana" w:hAnsi="Verdana" w:eastAsia="Verdana" w:cs="Verdana"/>
          <w:sz w:val="22"/>
        </w:rPr>
        <w:t xml:space="preserve">– Транспортно рачуноводство;</w:t>
      </w:r>
    </w:p>
    <w:p>
      <w:pPr>
        <w:spacing w:before="0" w:line="210" w:lineRule="atLeast"/>
        <w:ind w:left="0" w:right="0"/>
      </w:pPr>
      <w:r>
        <w:rPr>
          <w:rFonts w:ascii="Verdana" w:hAnsi="Verdana" w:eastAsia="Verdana" w:cs="Verdana"/>
          <w:sz w:val="22"/>
        </w:rPr>
        <w:t xml:space="preserve">– Основе саобраћаја и транспорта.</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 транспортни техничар у железничком саобраћају.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квалификацију </w:t>
      </w:r>
      <w:r>
        <w:rPr>
          <w:rFonts w:ascii="Verdana" w:hAnsi="Verdana" w:eastAsia="Verdana" w:cs="Verdana"/>
          <w:i/>
          <w:sz w:val="22"/>
        </w:rPr>
        <w:t xml:space="preserve">транспортни техничар у железничком саобраћају.</w:t>
      </w:r>
    </w:p>
    <w:p>
      <w:pPr>
        <w:spacing w:before="0" w:line="210" w:lineRule="atLeast"/>
        <w:ind w:left="0" w:right="0"/>
      </w:pPr>
      <w:r>
        <w:rPr>
          <w:rFonts w:ascii="Verdana" w:hAnsi="Verdana" w:eastAsia="Verdana" w:cs="Verdana"/>
          <w:sz w:val="22"/>
        </w:rPr>
        <w:t xml:space="preserve">На матурском практичном раду ученик извршава </w:t>
      </w:r>
      <w:r>
        <w:rPr>
          <w:rFonts w:ascii="Verdana" w:hAnsi="Verdana" w:eastAsia="Verdana" w:cs="Verdana"/>
          <w:b/>
          <w:sz w:val="22"/>
        </w:rPr>
        <w:t xml:space="preserve">два радна задатка</w:t>
      </w:r>
      <w:r>
        <w:rPr>
          <w:rFonts w:ascii="Verdana" w:hAnsi="Verdana" w:eastAsia="Verdana" w:cs="Verdana"/>
          <w:sz w:val="22"/>
        </w:rPr>
        <w:t xml:space="preserve"> којима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Од стандардизованих радних задатака сачињава се одговарајући број комбинација радних задатака за матурски практични рад. На основу листе комбинација из Приручника, школа формира школску листу комбинација у сваком испитном року. Број комбинација у школској листи мора бити најмање за 10% већи од броја ученика у одељењу који полажу матурски практичан рад. Ученик извлачи комбинацију радних задатака на дан полагања матурског практичног рада.</w:t>
      </w:r>
    </w:p>
    <w:p>
      <w:pPr>
        <w:spacing w:before="0" w:line="210" w:lineRule="atLeast"/>
        <w:ind w:left="0" w:right="0"/>
      </w:pPr>
      <w:r>
        <w:rPr>
          <w:rFonts w:ascii="Verdana" w:hAnsi="Verdana" w:eastAsia="Verdana" w:cs="Verdana"/>
          <w:sz w:val="22"/>
        </w:rPr>
        <w:t xml:space="preserve">Радни задатак може да се оцени највише са 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појединачном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по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0–99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100–124</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125–150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151–176</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177–200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транспортни техничар у железничком саобраћају</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савладаног програма за образовни профил транспортни техничар у железничком саобраћају</w:t>
      </w:r>
      <w:r>
        <w:rPr>
          <w:rFonts w:ascii="Verdana" w:hAnsi="Verdana" w:eastAsia="Verdana" w:cs="Verdana"/>
          <w:sz w:val="22"/>
        </w:rPr>
        <w:t xml:space="preserve">.</w:t>
      </w:r>
    </w:p>
  </w:body>
</w:document>
</file>

<file path=word/_rels/document.xml.rels>&#65279;<?xml version="1.0" encoding="utf-8"?><Relationships xmlns="http://schemas.openxmlformats.org/package/2006/relationships"><Relationship Type="http://schemas.openxmlformats.org/officeDocument/2006/relationships/hyperlink" Target="https://pravno-informacioni-sistem.rs" TargetMode="External" Id="Rfc46a0b794ca4e54" /></Relationships>
</file>