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2718259c5456c" /></Relationships>
</file>

<file path=word/document.xml><?xml version="1.0" encoding="utf-8"?>
<w:document xmlns:w="http://schemas.openxmlformats.org/wordprocessingml/2006/main">
  <w:body>
    <w:sectPr>
      <w:pgSz w:w="11906" w:h="16838" w:orient="portrait"/>
      <w:pgMar w:top="1440" w:right="1440" w:bottom="1440" w:left="1440"/>
    </w:sectPr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Преузето са </w:t>
      </w:r>
      <w:hyperlink xmlns:r="http://schemas.openxmlformats.org/officeDocument/2006/relationships" w:history="true" r:id="Rd7268c26e1a445e8">
        <w:r>
          <w:rPr>
            <w:rStyle w:val="Hyperlink"/>
            <w:rFonts w:ascii="Verdana" w:hAnsi="Verdana" w:eastAsia="Verdana" w:cs="Verdana"/>
            <w:color w:val="337ab7"/>
            <w:sz w:val="22"/>
          </w:rPr>
          <w:t xml:space="preserve">https://pravno-informacioni-sistem.rs</w:t>
        </w:r>
      </w:hyperlink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Просветни гласник 4/2026, Датум: 18.8.2026.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6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 основу члана 92. став 2. Закона о основама система образовања и васпитања („Службени гласник РС”, бр. 88/17, 27/18 – др. закон, 10/19, 6/20, 129/21, 92/23 и 19/25),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Министар просвете доноси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ПРАВИЛНИК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о допунама Правилника о ближим условима у погледу простора, опреме и наставних средстава за остваривање плана и програма наставе и учења стручних предмета средњег образовања и васпитања у стручним школама у подручју рада Пољопривреда, производња и прерада хране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1.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Правилнику о ближим условима у погледу простора, опреме и наставних средстава за остваривање плана и програма наставе и учења стручних предмета средњег образовања и васпитања у стручним школама у подручју рада Пољопривреда, производња и прерада хране („Службени гласник РС – Просветни гласник”, бр. 2/25 и 9/25), у Нормативу о ближим условима у погледу простора, опреме и наставних средстава за остваривање планова и програма наставе и учења за стручне предмете за образовне профиле у трогодишњем и четворогодишњем трајању у стручним школама за подручје рада Пољопривреда, производња и прерада хране, у одељку: „Б. ЗАЈЕДНИЧКИ НОРМАТИВ ШКОЛСКОГ ПРОСТОРА, ОПРЕМЕ И НАСТАВНИХ СРЕДСТАВА ЗА СТРУЧНЕ ПРЕДМЕТЕ У ОБЛАСТИ ПРОИЗВОДЊА И ПРЕРАДА ХРАНЕ”, у пододељку: „НОРМАТИВ СПЕЦИФИЧНОГ ПРОСТОРА, ОПРЕМЕ И НАСТАВНИХ СРЕДСТАВА ЗА ОБРАЗОВНЕ ПРОФИЛЕ:”, после тачке 8. додаје се тачка 9. која гласи: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„9. ТЕХНИЧАР ЗА МИКРОБИОЛОГИЈУ ХРАНЕ”.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пододељку: „НОРМАТИВ ШКОЛСКОГ ПРОСТОРА, ОПРЕМЕ НАСТАВНИХ СРЕДСТАВА ЗА НАСТАВУ ИЗ ПРЕДМЕТА КОЈА СЕ ИЗВОДИ У СПЕЦИЈАЛИЗОВАНОЈ УЧИОНИЦИ (КАБИНЕТУ)”, у тачки 5, код предмета „Прерада органских производа”, после речи: „Техничар за микробиологију хране” додајe се запета и речи: „Прехрамбено-биотехнолошки техничар”.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После тачке 8. додају се тач. 9. и 10. које гласе: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„9. Предмети: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Основе туризма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Аграрни туризам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Основе угоститељства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Припрема јела са жара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Историја пиварства (Прехрамбено-биотехнолошки техничар, Техничар за микробиологију хране)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Колачи од теста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Технологија хлађења прехрамбених производа (Прехрамбено-биотехнолошки техничар)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Технологија хлађења (Техничар за микробиологију хране)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10. Предмет: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Предузетништво (Прехрамбено-биотехнолошки техничар, Техничар за микробиологију хране)”.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Иза табеле за предмете: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„Сировине у месарству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Обрада меса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Објекти и опрема у месарству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Прерада меса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Тржиште и промет меса”, додају се предмети и табеле: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„Предмети: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Предузетништво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Основе туризма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Аграрни туризам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Основе угоститељства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Историја пиварства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Технологија хлађења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Прерада органских производа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Наставна средства</w:t>
      </w:r>
    </w:p>
    <w:tbl>
      <w:tblPr>
        <w:tblW w:w="99%" w:type="pct"/>
      </w:tblPr>
      <w:tblGrid>
        <w:gridCol/>
        <w:gridCol/>
        <w:gridCol/>
        <w:gridCol/>
        <w:gridCol/>
      </w:tblGrid>
      <w:tr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Ред. бр.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Врста и назив наставног средства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Јед.</w:t>
            </w:r>
          </w:p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мере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Количина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Напомена</w:t>
            </w:r>
          </w:p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b/>
                <w:sz w:val="22"/>
              </w:rPr>
              <w:t xml:space="preserve">Осим опреме која је заједничка за све специјализоване учионице, потребно још:</w:t>
            </w:r>
          </w:p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b/>
                <w:sz w:val="22"/>
              </w:rPr>
              <w:t xml:space="preserve">Наставни материјали, литература, упутства…</w:t>
            </w:r>
          </w:p>
        </w:tc>
      </w:tr>
      <w:tr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Шеме, oбрасци, модели, узорци, плакати, слике, скице, збирке из одговарајуће области за реализацију одговарајућих садржаја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примерак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по 1</w:t>
            </w:r>
          </w:p>
        </w:tc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*наставни материјали и литература могу бити и у електронском облику</w:t>
            </w:r>
          </w:p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Закони, уредбе, правилници и други прописи за одговарајуће садржаје предмета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примерак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по 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Одговарајући софтверски пакети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Одговарајућа стручна литература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комп.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Лексикони, приручници и стручни часописи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примерак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по 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Видео-материјал за одређене предмете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комп.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</w:tbl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Предмети</w:t>
      </w:r>
      <w:r>
        <w:rPr>
          <w:rFonts w:ascii="Verdana" w:hAnsi="Verdana" w:eastAsia="Verdana" w:cs="Verdana"/>
          <w:b/>
          <w:sz w:val="22"/>
        </w:rPr>
        <w:t xml:space="preserve">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Колачи од теста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Припрема јела са жара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Наставна средства</w:t>
      </w:r>
    </w:p>
    <w:tbl>
      <w:tblPr>
        <w:tblW w:w="99%" w:type="pct"/>
      </w:tblPr>
      <w:tblGrid>
        <w:gridCol/>
        <w:gridCol/>
        <w:gridCol/>
        <w:gridCol/>
        <w:gridCol/>
      </w:tblGrid>
      <w:tr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Ред. бр.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Врста и назив наставног средства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Јед.</w:t>
            </w:r>
          </w:p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мере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Количина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Напомена</w:t>
            </w:r>
          </w:p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b/>
                <w:sz w:val="22"/>
              </w:rPr>
              <w:t xml:space="preserve">Литература</w:t>
            </w:r>
          </w:p>
        </w:tc>
      </w:tr>
      <w:tr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Одобрени уџбеници за пекарство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Одобрени уџбеници за кулинарство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Кувари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2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Збирке рецепата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2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*вежбе изводити у радионици за обављање практичне наставе</w:t>
            </w:r>
          </w:p>
        </w:tc>
      </w:tr>
      <w:tr>
        <w:tc>
          <w:tcPr>
            <w:gridSpan w:val="5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b/>
                <w:sz w:val="22"/>
              </w:rPr>
              <w:t xml:space="preserve">Опрема</w:t>
            </w:r>
          </w:p>
        </w:tc>
      </w:tr>
      <w:tr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2.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Радни делови од инокса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Ормани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2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Миксер ручни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Миксер месилица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Плехови за печење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Расхладна комора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Ферментациона комора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Техничка вага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Фрижидер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Вангле разних величина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Радни сто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Ситан ручни алат (оклагије, модле, жице за мућење, ножеви, четке за премазивање теста, варјаче...)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Комора за ферментацију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Пећ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Судопера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Роштиљ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Преса за пљескавице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Апарат за израду кобасица и ћевапа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Даске за сечење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Ножеви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Кашике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Машина за млевење меса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  <w:tr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Шпатула за роштиљ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ком.</w:t>
            </w:r>
          </w:p>
        </w:tc>
        <w:tc>
          <w:tcPr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0" w:line="210" w:lineRule="atLeast"/>
              <w:ind w:left="0" w:right="0"/>
            </w:pPr>
            <w:r>
              <w:rPr>
                <w:rFonts w:ascii="Verdana" w:hAnsi="Verdana" w:eastAsia="Verdana" w:cs="Verdana"/>
                <w:sz w:val="22"/>
              </w:rPr>
              <w:t xml:space="preserve">1</w:t>
            </w:r>
          </w:p>
        </w:tc>
        <w:tc>
          <w:tcPr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/>
        </w:tc>
      </w:tr>
    </w:tbl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”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2.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Овај правилник ступа на снагу осмог дана од дана објављивања у „Службеном гласнику Републике Србије – Просветном гласнику”.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Број 110-00-54/2026-03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У Београду, 16. јула 2026. године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Министар,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проф. др </w:t>
      </w:r>
      <w:r>
        <w:rPr>
          <w:rFonts w:ascii="Verdana" w:hAnsi="Verdana" w:eastAsia="Verdana" w:cs="Verdana"/>
          <w:b/>
          <w:sz w:val="22"/>
        </w:rPr>
        <w:t xml:space="preserve">Дејан Вук Станковић</w:t>
      </w:r>
      <w:r>
        <w:rPr>
          <w:rFonts w:ascii="Verdana" w:hAnsi="Verdana" w:eastAsia="Verdana" w:cs="Verdana"/>
          <w:sz w:val="22"/>
        </w:rPr>
        <w:t xml:space="preserve">, с.р.</w:t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ravno-informacioni-sistem.rs" TargetMode="External" Id="Rd7268c26e1a445e8" /></Relationships>
</file>