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bafbfdc4ef4257" /></Relationships>
</file>

<file path=word/document.xml><?xml version="1.0" encoding="utf-8"?>
<w:document xmlns:w="http://schemas.openxmlformats.org/wordprocessingml/2006/main">
  <w:body>
    <w:sectPr>
      <w:pgSz w:w="11906" w:h="16838" w:orient="portrait"/>
      <w:pgMar w:top="1440" w:right="1440" w:bottom="1440" w:left="1440"/>
    </w:sectPr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color w:val="000000"/>
          <w:sz w:val="22"/>
        </w:rPr>
        <w:t xml:space="preserve">Преузето са </w:t>
      </w:r>
      <w:hyperlink xmlns:r="http://schemas.openxmlformats.org/officeDocument/2006/relationships" w:history="true" r:id="R9536808c6e824f99">
        <w:r>
          <w:rPr>
            <w:rStyle w:val="Hyperlink"/>
            <w:rFonts w:ascii="Verdana" w:hAnsi="Verdana" w:eastAsia="Verdana" w:cs="Verdana"/>
            <w:color w:val="337ab7"/>
            <w:sz w:val="22"/>
          </w:rPr>
          <w:t xml:space="preserve">https://pravno-informacioni-sistem.rs</w:t>
        </w:r>
      </w:hyperlink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color w:val="000000"/>
          <w:sz w:val="22"/>
        </w:rPr>
        <w:t xml:space="preserve">Просветни гласник 4/2026, Датум: 18.8.2026.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3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На основу члана 160. став 7. Закона о основама система образовања и васпитања („Службени гласник РС”, бр. 88/17, 27/18 – др. закон, 10/19, 6/20, 129/21, 92/23 и 19/25),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Министар просвете доноси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ПРАВИЛНИК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b/>
          <w:sz w:val="22"/>
        </w:rPr>
        <w:t xml:space="preserve">о допунама Правилника о педагошкој норми свих облика образовно-васпитног рада наставника и стручних сарадника у средњој школи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sz w:val="22"/>
        </w:rPr>
        <w:t xml:space="preserve">Члан 1.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У Правилнику о педагошкој норми свих облика образовно-васпитног рада наставника и стручних сарадника у средњој школи („Службени гласник Републике Србије – Просветни гласник”, бр. 1/92, 23/97, 2/00 и 15/19), у члану 6. после става 6. додају се ст. 7. и 8, који гласе: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„У оквиру недељног пуног радног времена у одељењима у којима се двојезично остварује програм образовно-васпитног рада (у даљем тексту: двојезична настава), и то на српском језику, односно језику националне мањине и страном језику, предметном наставнику недељна норма часова умањује се за један час у одељењима у којима је број ученика од 10 до 20, односно за два часа у одељењима у којима је број ученика већи од 20.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Наставнику одређеног страног језика који заједно с предметним наставником реализује двојезичну наставу, недељна норма часова умањује се за два часа.”</w:t>
      </w:r>
    </w:p>
    <w:p>
      <w:pPr>
        <w:spacing w:before="0" w:line="210" w:lineRule="atLeast"/>
        <w:ind w:left="0" w:right="0"/>
        <w:jc w:val="center"/>
      </w:pPr>
      <w:r>
        <w:rPr>
          <w:rFonts w:ascii="Verdana" w:hAnsi="Verdana" w:eastAsia="Verdana" w:cs="Verdana"/>
          <w:sz w:val="22"/>
        </w:rPr>
        <w:t xml:space="preserve">Члан 2.</w:t>
      </w:r>
    </w:p>
    <w:p>
      <w:pPr>
        <w:spacing w:before="0" w:line="210" w:lineRule="atLeast"/>
        <w:ind w:left="0" w:right="0"/>
      </w:pPr>
      <w:r>
        <w:rPr>
          <w:rFonts w:ascii="Verdana" w:hAnsi="Verdana" w:eastAsia="Verdana" w:cs="Verdana"/>
          <w:sz w:val="22"/>
        </w:rPr>
        <w:t xml:space="preserve">Овај правилник ступа на снагу осмог дана од дана објављивања у „Службеном гласнику Републике Србије – Просветном гласнику”.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Број 110-00-87/2026-03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У Београду, 20. јула 2026. године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Министар,</w:t>
      </w:r>
    </w:p>
    <w:p>
      <w:pPr>
        <w:spacing w:before="0" w:line="210" w:lineRule="atLeast"/>
        <w:ind w:left="0" w:right="0"/>
        <w:jc w:val="right"/>
      </w:pPr>
      <w:r>
        <w:rPr>
          <w:rFonts w:ascii="Verdana" w:hAnsi="Verdana" w:eastAsia="Verdana" w:cs="Verdana"/>
          <w:sz w:val="22"/>
        </w:rPr>
        <w:t xml:space="preserve">проф. др </w:t>
      </w:r>
      <w:r>
        <w:rPr>
          <w:rFonts w:ascii="Verdana" w:hAnsi="Verdana" w:eastAsia="Verdana" w:cs="Verdana"/>
          <w:b/>
          <w:sz w:val="22"/>
        </w:rPr>
        <w:t xml:space="preserve">Дејан Вук Станковић,</w:t>
      </w:r>
      <w:r>
        <w:rPr>
          <w:rFonts w:ascii="Verdana" w:hAnsi="Verdana" w:eastAsia="Verdana" w:cs="Verdana"/>
          <w:sz w:val="22"/>
        </w:rPr>
        <w:t xml:space="preserve"> с.р.</w:t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pravno-informacioni-sistem.rs" TargetMode="External" Id="R9536808c6e824f99" /></Relationships>
</file>