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fb88f13ec642c2" /></Relationships>
</file>

<file path=word/document.xml><?xml version="1.0" encoding="utf-8"?>
<w:document xmlns:w="http://schemas.openxmlformats.org/wordprocessingml/2006/main">
  <w:body>
    <w:sectPr>
      <w:pgSz w:w="11906" w:h="16838" w:orient="portrait"/>
      <w:pgMar w:top="1440" w:right="1440" w:bottom="1440" w:left="1440"/>
    </w:sectPr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color w:val="000000"/>
          <w:sz w:val="22"/>
        </w:rPr>
        <w:t xml:space="preserve">Преузето са </w:t>
      </w:r>
      <w:hyperlink xmlns:r="http://schemas.openxmlformats.org/officeDocument/2006/relationships" w:history="true" r:id="R3f070ab4f28a4722">
        <w:r>
          <w:rPr>
            <w:rStyle w:val="Hyperlink"/>
            <w:rFonts w:ascii="Verdana" w:hAnsi="Verdana" w:eastAsia="Verdana" w:cs="Verdana"/>
            <w:color w:val="337ab7"/>
            <w:sz w:val="22"/>
          </w:rPr>
          <w:t xml:space="preserve">https://pravno-informacioni-sistem.rs</w:t>
        </w:r>
      </w:hyperlink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color w:val="000000"/>
          <w:sz w:val="22"/>
        </w:rPr>
        <w:t xml:space="preserve">Просветни гласник 4/2026, Датум: 18.8.2026.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b/>
          <w:sz w:val="22"/>
        </w:rPr>
        <w:t xml:space="preserve">1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На основу члана 92. став 2. Закона о основама система образовања и васпитања („Службени гласник РС”, бр. 88/17, 27/18 – др. закон, 10/19, 6/20, 129/21, 92/23 и 19/25),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Министар просвете доноси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b/>
          <w:sz w:val="22"/>
        </w:rPr>
        <w:t xml:space="preserve">ПРАВИЛНИК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b/>
          <w:sz w:val="22"/>
        </w:rPr>
        <w:t xml:space="preserve">о допунама Правилника о ближим условима у погледу простора, опреме и наставних средстава за остваривање наставних планова и програма образовања и васпитања за стручне предмете за образовне профиле у трогодишњем и четворогодишњем трајању у стручним школама у подручју рада Здравство и социјална заштита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sz w:val="22"/>
        </w:rPr>
        <w:t xml:space="preserve">Члан 1.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У Правилнику о ближим условима у погледу простора, опреме и наставних средстава за остваривање наставних планова и програма образовања и васпитања за стручне предмете за образовне профиле у трогодишњем и четворогодишњем трајању у стручним школама у подручју рада Здравство и социјална заштита („Службени гласник РС – Просветни гласник”, бр. 17/15, 10/19, 14/23 и 2/25), у делу: „2. НАСТАВНА СРЕДСТВА ЗА СТРУЧНЕ ПРЕДМЕТЕ:” после речи: „Технологија зуботехничког материјала”, тачка се замењује запетом и додају речи: „Неуропсихијатрија, Дерматологија.”.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sz w:val="22"/>
        </w:rPr>
        <w:t xml:space="preserve">Члан 2.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У делу: „5. ПОСЕБНА НАСТАВНА СРЕДСТВА ЗА СТРУЧНЕ ПРЕДМЕТЕ (КОЈИ СУ ЗАЈЕДНИЧКИ ЗА СВЕ ИЛИ ГРУПЕ ОБРАЗОВНИХ ПРОФИЛА)”, за образовне профиле: 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„МЕДИЦИНСКА СЕСТРА ОПШТЕГ СМЕРА 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ЗДРАВСТВЕНИ НЕГОВАТЕЉ”, 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испод речи: „ЗДРАВСТВЕНА НЕГА”, додају се речи: „ЗДРАВСТВЕНА НЕГА У КУЋИ”.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sz w:val="22"/>
        </w:rPr>
        <w:t xml:space="preserve">Члан 3.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Овај правилник ступа на снагу осмог дана од дана објављивања у „Службеном гласнику Републике Србије – Просветном гласнику”.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Број 110-00-53/2026-03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У Београду, 3. јула 2026. године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Министар,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проф. др </w:t>
      </w:r>
      <w:r>
        <w:rPr>
          <w:rFonts w:ascii="Verdana" w:hAnsi="Verdana" w:eastAsia="Verdana" w:cs="Verdana"/>
          <w:b/>
          <w:sz w:val="22"/>
        </w:rPr>
        <w:t xml:space="preserve">Дејан Вук Станковић, </w:t>
      </w:r>
      <w:r>
        <w:rPr>
          <w:rFonts w:ascii="Verdana" w:hAnsi="Verdana" w:eastAsia="Verdana" w:cs="Verdana"/>
          <w:sz w:val="22"/>
        </w:rPr>
        <w:t xml:space="preserve">с.р.</w:t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pravno-informacioni-sistem.rs" TargetMode="External" Id="R3f070ab4f28a4722" /></Relationships>
</file>