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E" w:rsidRPr="00B12065" w:rsidRDefault="006B4E7E" w:rsidP="006B4E7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B120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sr-Cyrl-RS"/>
        </w:rPr>
        <w:t>ПРИМЕР ПРИПРЕМЕ ЗА ЧАС</w:t>
      </w:r>
      <w:r w:rsidR="00EB68C2" w:rsidRPr="00B120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sr-Cyrl-RS"/>
        </w:rPr>
        <w:t xml:space="preserve"> ИСТОРИЈЕ ПОСВЕЋЕН НЕГОВАЊУ СЕЋАЊА НА „НОВОСАДСКУ РАЦИЈУ</w:t>
      </w:r>
      <w:r w:rsidR="00B12065" w:rsidRPr="00B12065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”</w:t>
      </w:r>
      <w:r w:rsidR="00EB68C2" w:rsidRPr="00B1206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sr-Cyrl-RS"/>
        </w:rPr>
        <w:t xml:space="preserve"> 1942. ГОДИНЕ</w:t>
      </w:r>
    </w:p>
    <w:tbl>
      <w:tblPr>
        <w:tblW w:w="13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6240"/>
        <w:gridCol w:w="140"/>
        <w:gridCol w:w="2120"/>
        <w:gridCol w:w="2540"/>
      </w:tblGrid>
      <w:tr w:rsidR="006B4E7E" w:rsidRPr="00460FC5" w:rsidTr="006B4E7E">
        <w:trPr>
          <w:trHeight w:val="266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Предмет:</w:t>
            </w:r>
          </w:p>
        </w:tc>
        <w:tc>
          <w:tcPr>
            <w:tcW w:w="63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Историја</w:t>
            </w:r>
          </w:p>
        </w:tc>
        <w:tc>
          <w:tcPr>
            <w:tcW w:w="2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r-Cyrl-RS"/>
              </w:rPr>
              <w:t xml:space="preserve">Разред </w:t>
            </w:r>
          </w:p>
        </w:tc>
        <w:tc>
          <w:tcPr>
            <w:tcW w:w="2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r-Cyrl-RS"/>
              </w:rPr>
              <w:t>V</w:t>
            </w:r>
            <w:r w:rsidR="0007366E" w:rsidRPr="00460F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r-Cyrl-RS"/>
              </w:rPr>
              <w:t>III</w:t>
            </w:r>
          </w:p>
        </w:tc>
      </w:tr>
      <w:tr w:rsidR="006B4E7E" w:rsidRPr="00460FC5" w:rsidTr="006B4E7E">
        <w:trPr>
          <w:trHeight w:val="266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Наставна тема :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6B4E7E" w:rsidRPr="00460FC5" w:rsidRDefault="0007366E" w:rsidP="00B441FE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Југославија и српски народ у Другом светском рату </w:t>
            </w:r>
          </w:p>
        </w:tc>
      </w:tr>
      <w:tr w:rsidR="006B4E7E" w:rsidRPr="00460FC5" w:rsidTr="006B4E7E">
        <w:trPr>
          <w:trHeight w:val="314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314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Наставна јединица: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6B4E7E" w:rsidRPr="00460FC5" w:rsidRDefault="00B441FE" w:rsidP="006B4E7E">
            <w:pPr>
              <w:spacing w:after="0" w:line="314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B1206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„</w:t>
            </w:r>
            <w:r w:rsidR="0007366E" w:rsidRPr="00B1206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Новосадска рација</w:t>
            </w:r>
            <w:r w:rsidR="00B12065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6B4E7E"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(обрада)</w:t>
            </w:r>
          </w:p>
        </w:tc>
      </w:tr>
      <w:tr w:rsidR="006B4E7E" w:rsidRPr="00460FC5" w:rsidTr="006B4E7E">
        <w:trPr>
          <w:trHeight w:val="498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EA4B8C" w:rsidRDefault="006B4E7E" w:rsidP="00F116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Оспособљавање ученика да </w:t>
            </w:r>
            <w:r w:rsidR="00B312A3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препознају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B312A3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важност неговања сећања на</w:t>
            </w:r>
            <w:r w:rsidR="00C57EA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важне догађаје</w:t>
            </w:r>
            <w:r w:rsidR="001E7F33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из историје </w:t>
            </w:r>
            <w:r w:rsidR="00F11644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Србије и српског </w:t>
            </w:r>
            <w:r w:rsidR="00CE64C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народа</w:t>
            </w:r>
            <w:r w:rsidR="00B312A3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1E7F33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као што је</w:t>
            </w:r>
            <w:r w:rsidR="00532268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EA4B8C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„Новосадска рација</w:t>
            </w:r>
            <w:r w:rsidR="00EA4B8C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EA4B8C">
              <w:rPr>
                <w:rFonts w:ascii="Times New Roman" w:hAnsi="Times New Roman" w:cs="Times New Roman"/>
                <w:bCs/>
                <w:lang w:val="sr-Cyrl-CS"/>
              </w:rPr>
              <w:t>.</w:t>
            </w:r>
          </w:p>
        </w:tc>
      </w:tr>
      <w:tr w:rsidR="006B4E7E" w:rsidRPr="00460FC5" w:rsidTr="006B4E7E">
        <w:trPr>
          <w:trHeight w:val="1980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Ученик ће бити у стању да:</w:t>
            </w:r>
          </w:p>
          <w:p w:rsidR="00D84C8C" w:rsidRPr="00B441FE" w:rsidRDefault="00D84C8C" w:rsidP="00D84C8C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образложи смисао неговања сећања 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трагичне историјске догађаје као што је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EA4B8C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„Новосадска рација</w:t>
            </w:r>
            <w:r w:rsidR="00EA4B8C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EA4B8C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EA4B8C" w:rsidRPr="00EA4B8C" w:rsidRDefault="00EA4B8C" w:rsidP="00D84C8C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о</w:t>
            </w:r>
            <w:r w:rsidR="00D84C8C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бразложи могуће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последице овог </w:t>
            </w:r>
            <w:r w:rsidR="00D84C8C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злочина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мађарских окупатора из 1942. године </w:t>
            </w:r>
            <w:r w:rsidR="00F11644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на </w:t>
            </w:r>
            <w:r w:rsidR="00D84C8C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савремено </w:t>
            </w:r>
            <w:r w:rsidR="00F11644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српско </w:t>
            </w:r>
            <w:r w:rsidR="00D84C8C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друштво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EA4B8C" w:rsidRPr="00460FC5" w:rsidRDefault="00EA4B8C" w:rsidP="00EA4B8C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препозна, на примеру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„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Новосадске рације</w:t>
            </w:r>
            <w:r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, важност поштовања људских права; </w:t>
            </w:r>
          </w:p>
          <w:p w:rsidR="00DB7571" w:rsidRPr="00460FC5" w:rsidRDefault="00DB7571" w:rsidP="00DB7571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идентификује основне карактеристике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тоталитаризма 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у Мађарској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у време Другог светског рата</w:t>
            </w:r>
            <w:r w:rsidR="009446F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и наведе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његове последице у контексту злочина у јужној Бачкој;</w:t>
            </w:r>
          </w:p>
          <w:p w:rsidR="006B4E7E" w:rsidRPr="00460FC5" w:rsidRDefault="006B4E7E" w:rsidP="00D84C8C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лоцира на историјској карти простор </w:t>
            </w:r>
            <w:r w:rsidR="004D00F7"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јужне Бачке где су извршени злочини </w:t>
            </w:r>
            <w:r w:rsidR="00F11644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почетком </w:t>
            </w:r>
            <w:r w:rsidR="004D00F7"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1942. године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B441FE" w:rsidRPr="00EA4B8C" w:rsidRDefault="006B4E7E" w:rsidP="008B3499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користећи  ленту времена, смести  </w:t>
            </w:r>
            <w:r w:rsidR="009446F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„Новосадску рацију</w:t>
            </w:r>
            <w:r w:rsidR="009446F1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9446F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8B3499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на одговарајуће место</w:t>
            </w:r>
            <w:r w:rsidR="008B3499"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9446F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међу најзначајнијим појавама и догађајима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из историје </w:t>
            </w:r>
            <w:r w:rsidR="008B3499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Србије и српског народа у </w:t>
            </w:r>
            <w:r w:rsidR="00CF4157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периоду </w:t>
            </w:r>
            <w:r w:rsidR="008B3499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Другог светског рата</w:t>
            </w:r>
            <w:r w:rsidR="00CF4157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.</w:t>
            </w:r>
          </w:p>
        </w:tc>
      </w:tr>
      <w:tr w:rsidR="006B4E7E" w:rsidRPr="00460FC5" w:rsidTr="006B4E7E">
        <w:trPr>
          <w:trHeight w:val="314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314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Методе рада: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B441FE">
            <w:pPr>
              <w:spacing w:after="0" w:line="314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Дијалошка метода</w:t>
            </w:r>
            <w:r w:rsidR="00B441FE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, 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илустративно-демонстративна метода</w:t>
            </w:r>
          </w:p>
        </w:tc>
      </w:tr>
      <w:tr w:rsidR="006B4E7E" w:rsidRPr="00460FC5" w:rsidTr="006B4E7E">
        <w:trPr>
          <w:trHeight w:val="300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300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Облици рада: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300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Фронтална настава, </w:t>
            </w:r>
            <w:r w:rsidR="005F6910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рад у пару и</w:t>
            </w:r>
            <w:r w:rsidR="00D66E66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ли</w:t>
            </w:r>
            <w:r w:rsidR="005F6910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малој групи</w:t>
            </w:r>
            <w:r w:rsidR="00B441FE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, </w:t>
            </w: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индивидуални рад</w:t>
            </w:r>
          </w:p>
        </w:tc>
      </w:tr>
      <w:tr w:rsidR="006B4E7E" w:rsidRPr="00460FC5" w:rsidTr="006B4E7E">
        <w:trPr>
          <w:trHeight w:val="266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 </w:t>
            </w:r>
          </w:p>
        </w:tc>
        <w:tc>
          <w:tcPr>
            <w:tcW w:w="6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480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E7E" w:rsidRPr="00460FC5" w:rsidRDefault="006B4E7E" w:rsidP="006B4E7E">
            <w:pPr>
              <w:spacing w:after="0" w:line="26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Планиране активности ученика</w:t>
            </w:r>
          </w:p>
        </w:tc>
      </w:tr>
      <w:tr w:rsidR="006B4E7E" w:rsidRPr="00460FC5" w:rsidTr="006B4E7E">
        <w:trPr>
          <w:trHeight w:val="1239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2268" w:rsidRDefault="006B4E7E" w:rsidP="005322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Уводни део часа</w:t>
            </w:r>
          </w:p>
          <w:p w:rsidR="006B4E7E" w:rsidRPr="00460FC5" w:rsidRDefault="006B4E7E" w:rsidP="0053226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</w:p>
        </w:tc>
        <w:tc>
          <w:tcPr>
            <w:tcW w:w="6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60EBD" w:rsidRPr="00292D21" w:rsidRDefault="00460EBD" w:rsidP="00233C6B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поставља питање ученицима </w:t>
            </w:r>
            <w:r w:rsidR="00CE64C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да ли су урадили домаћи задатак дат </w:t>
            </w: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на претходном часу, а који се односи</w:t>
            </w:r>
            <w:r w:rsidR="00D84C8C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о</w:t>
            </w: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на самостално истраживање о трагичном догађају 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из историје српског, јеврејског и ромског народа, </w:t>
            </w: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названом „Новосадска рација</w:t>
            </w:r>
            <w:r w:rsidR="00EA4B8C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и </w:t>
            </w:r>
            <w:r w:rsidR="009B738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на 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гледање документарног филма „Деца бесмртности</w:t>
            </w:r>
            <w:r w:rsidR="00EA7DD5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C86B9F" w:rsidRPr="00DF409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(</w:t>
            </w:r>
            <w:r w:rsidR="00C86B9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Прилог 1</w:t>
            </w:r>
            <w:r w:rsidR="00C86B9F" w:rsidRPr="00DF409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)</w:t>
            </w:r>
            <w:r w:rsidR="00615D9E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,</w:t>
            </w:r>
            <w:r w:rsidR="00C86B9F" w:rsidRPr="00DF409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у којем је описан тај догађај</w:t>
            </w:r>
            <w:r w:rsidR="00EA7DD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250EBE" w:rsidRPr="00292D21" w:rsidRDefault="00460EBD" w:rsidP="00233C6B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ученике дели у парове или мање групе (троје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или четворо у групи)</w:t>
            </w:r>
            <w:r w:rsidR="00FB3DD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250EBE" w:rsidRPr="00292D21" w:rsidRDefault="00460EBD" w:rsidP="00233C6B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даје задатак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ученицима 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(активност траје 10 минута) </w:t>
            </w:r>
            <w:r w:rsidR="00CE64C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да у оквиру парова или група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проми</w:t>
            </w:r>
            <w:r w:rsidR="00CE64C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сле, продискутују и наведу најмање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пет разлога зашто је важно неговати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lastRenderedPageBreak/>
              <w:t xml:space="preserve">сећање на </w:t>
            </w:r>
            <w:r w:rsidR="00CE64C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догађаје из прошлости, попут „Новосадске рације</w:t>
            </w:r>
            <w:r w:rsidR="00EA4B8C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(као 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вид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помоћ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и ученици се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могу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подста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ћи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да замисле ка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кве би последице произашле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ако би се </w:t>
            </w:r>
            <w:r w:rsidR="00532268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 савременом друштву 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заборавило на такве догађаје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и </w:t>
            </w:r>
            <w:r w:rsidR="00D84C8C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ако ни на који начин не би били обележавани</w:t>
            </w:r>
            <w:r w:rsidR="00250EBE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)</w:t>
            </w:r>
            <w:r w:rsidR="00FB3DD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1B526B" w:rsidRPr="00292D21" w:rsidRDefault="00233C6B" w:rsidP="00233C6B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даје налог паровима</w:t>
            </w:r>
            <w:r w:rsidR="0003759F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или г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рупама</w:t>
            </w:r>
            <w:r w:rsidR="0003759F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да размене одговоре до којих су дошли и 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записује их на табли </w:t>
            </w:r>
            <w:r w:rsidR="0003759F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као резултат рада читавог одељења (</w:t>
            </w:r>
            <w:r w:rsidR="00B1206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трајање 5</w:t>
            </w:r>
            <w:r w:rsidR="0003759F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минута)</w:t>
            </w:r>
            <w:r w:rsidR="00FB3DD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6B4E7E" w:rsidRPr="00F11644" w:rsidRDefault="0003759F" w:rsidP="009446F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Roboto, sans-serif" w:hAnsi="Roboto, sans-serif"/>
                <w:color w:val="111111"/>
              </w:rPr>
            </w:pP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представља</w:t>
            </w:r>
            <w:r w:rsidR="00A7211C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разлоге</w:t>
            </w:r>
            <w:r w:rsidR="00292D21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292D21" w:rsidRPr="00292D21">
              <w:rPr>
                <w:rFonts w:ascii="Times New Roman" w:eastAsia="Calibri" w:hAnsi="Times New Roman" w:cs="Times New Roman"/>
                <w:color w:val="000000"/>
                <w:kern w:val="24"/>
              </w:rPr>
              <w:t>(</w:t>
            </w:r>
            <w:r w:rsidR="00292D21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који су наведени на његовој презентацији или их записује на табли</w:t>
            </w:r>
            <w:r w:rsidR="00292D21" w:rsidRPr="00292D2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) </w:t>
            </w:r>
            <w:r w:rsidR="00A7211C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за неговање сећања на трагичне догађаје из прошлости, </w:t>
            </w:r>
            <w:r w:rsidR="00292D21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који су, према</w:t>
            </w:r>
            <w:r w:rsidR="00A7211C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његовом мишљењу, најважнији (на</w:t>
            </w:r>
            <w:r w:rsidR="001B526B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пример, </w:t>
            </w:r>
            <w:r w:rsidR="004A2C3D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помаже нам у </w:t>
            </w:r>
            <w:r w:rsidR="001B526B" w:rsidRPr="00292D21">
              <w:rPr>
                <w:rFonts w:ascii="Times New Roman" w:hAnsi="Times New Roman" w:cs="Times New Roman"/>
                <w:color w:val="111111"/>
                <w:lang w:val="sr-Cyrl-RS"/>
              </w:rPr>
              <w:t>р</w:t>
            </w:r>
            <w:r w:rsidR="004A2C3D" w:rsidRPr="00292D21">
              <w:rPr>
                <w:rFonts w:ascii="Times New Roman" w:hAnsi="Times New Roman" w:cs="Times New Roman"/>
                <w:color w:val="111111"/>
                <w:lang w:val="sr-Cyrl-RS"/>
              </w:rPr>
              <w:t>азумевању света</w:t>
            </w:r>
            <w:r w:rsidR="00295B03" w:rsidRPr="00292D21">
              <w:rPr>
                <w:rFonts w:ascii="Times New Roman" w:hAnsi="Times New Roman" w:cs="Times New Roman"/>
                <w:color w:val="111111"/>
                <w:lang w:val="sr-Cyrl-RS"/>
              </w:rPr>
              <w:t xml:space="preserve"> у којем живимо и </w:t>
            </w:r>
            <w:r w:rsidR="004A2C3D" w:rsidRPr="00292D21">
              <w:rPr>
                <w:rFonts w:ascii="Times New Roman" w:hAnsi="Times New Roman" w:cs="Times New Roman"/>
                <w:color w:val="111111"/>
                <w:lang w:val="sr-Cyrl-RS"/>
              </w:rPr>
              <w:t xml:space="preserve">у развијању сопственог идентитета, учи нас да уочимо упозоравајуће сигнале да се слични злочини могу поновити, инспирише нас да будемо бољи људи...) и </w:t>
            </w:r>
            <w:r w:rsidR="004A2C3D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пореди их са </w:t>
            </w:r>
            <w:r w:rsidR="009446F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одговорима које</w:t>
            </w:r>
            <w:r w:rsidR="004A2C3D"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су навели ученици </w:t>
            </w: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(</w:t>
            </w:r>
            <w:r w:rsidR="00B1206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трајање 5 </w:t>
            </w:r>
            <w:r w:rsidRPr="00292D2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минута)</w:t>
            </w:r>
            <w:r w:rsidR="00FB3DD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.</w:t>
            </w:r>
          </w:p>
        </w:tc>
        <w:tc>
          <w:tcPr>
            <w:tcW w:w="480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4E7E" w:rsidRPr="002B3314" w:rsidRDefault="00B342BB" w:rsidP="002C0941">
            <w:pPr>
              <w:numPr>
                <w:ilvl w:val="0"/>
                <w:numId w:val="3"/>
              </w:numPr>
              <w:spacing w:after="0" w:line="256" w:lineRule="auto"/>
              <w:contextualSpacing/>
              <w:rPr>
                <w:rFonts w:ascii="Arial" w:eastAsia="Times New Roman" w:hAnsi="Arial" w:cs="Arial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lastRenderedPageBreak/>
              <w:t xml:space="preserve">питају, одговарају на питања, </w:t>
            </w:r>
            <w:r w:rsidR="002B3314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дискутују у оквиру групе и читавог одељења, </w:t>
            </w:r>
            <w:r w:rsidR="009446F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бележе одговор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е које су издвојиле њихова </w:t>
            </w:r>
            <w:r w:rsidR="00CE64C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група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и </w:t>
            </w:r>
            <w:r w:rsidR="002C094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остале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групе, као и оне које је представио наставник. </w:t>
            </w:r>
          </w:p>
        </w:tc>
      </w:tr>
      <w:tr w:rsidR="006B4E7E" w:rsidRPr="00460FC5" w:rsidTr="00E12664">
        <w:trPr>
          <w:trHeight w:val="505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2005C" w:rsidRDefault="00DF4091" w:rsidP="0042005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Средишњи </w:t>
            </w:r>
            <w:r w:rsidR="006B4E7E"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</w:t>
            </w:r>
            <w:bookmarkStart w:id="0" w:name="_GoBack"/>
            <w:bookmarkEnd w:id="0"/>
            <w:r w:rsidR="006B4E7E"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ео часа</w:t>
            </w:r>
            <w:r w:rsidR="0042005C">
              <w:rPr>
                <w:rFonts w:ascii="Arial" w:eastAsia="Times New Roman" w:hAnsi="Arial" w:cs="Arial"/>
                <w:sz w:val="36"/>
                <w:szCs w:val="36"/>
                <w:lang w:val="sr-Cyrl-RS"/>
              </w:rPr>
              <w:t xml:space="preserve"> </w:t>
            </w:r>
          </w:p>
          <w:p w:rsidR="006B4E7E" w:rsidRPr="0042005C" w:rsidRDefault="006B4E7E" w:rsidP="004200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6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2005C" w:rsidRPr="00480920" w:rsidRDefault="00DF4091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поставља питање ученицима о томе шта су сазнали о „Новосадско</w:t>
            </w:r>
            <w:r w:rsidR="00FB3DD5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ј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рацији</w:t>
            </w:r>
            <w:r w:rsidR="00EA4B8C" w:rsidRPr="00480920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радећи на домаћем задатку и </w:t>
            </w:r>
            <w:r w:rsidR="009B7385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потом 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заједнички издвајају најважније информације о том догађају и записују их на табли: када се злочин догодио, на којем простору, ко су били починиоци а ко жртве, које су биле последице...</w:t>
            </w:r>
          </w:p>
          <w:p w:rsidR="0042005C" w:rsidRPr="0042005C" w:rsidRDefault="0042005C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42005C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покреће дискусију о документарном филму „Деца бесмртности</w:t>
            </w:r>
            <w:r w:rsidR="00EA4B8C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Pr="0042005C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током које ученици </w:t>
            </w:r>
            <w:r w:rsidRPr="0042005C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издвајају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она </w:t>
            </w:r>
            <w:r w:rsidRPr="0042005C">
              <w:rPr>
                <w:rFonts w:ascii="Times New Roman" w:hAnsi="Times New Roman" w:cs="Times New Roman"/>
                <w:lang w:val="sr-Cyrl-CS"/>
              </w:rPr>
              <w:t>сведочења потомака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жртава која су на њих оставила посебан утисак</w:t>
            </w:r>
            <w:r w:rsidR="00FB3DD5">
              <w:rPr>
                <w:rFonts w:ascii="Times New Roman" w:hAnsi="Times New Roman" w:cs="Times New Roman"/>
                <w:lang w:val="sr-Cyrl-CS"/>
              </w:rPr>
              <w:t>;</w:t>
            </w:r>
            <w:r w:rsidRPr="0042005C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9B7385" w:rsidRDefault="0042005C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Roboto, sans-serif" w:hAnsi="Roboto, sans-serif"/>
                <w:color w:val="111111"/>
              </w:rPr>
            </w:pPr>
            <w:r w:rsidRPr="00DF409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показује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и са </w:t>
            </w:r>
            <w:r w:rsidRPr="00DF409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ученицима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анализира </w:t>
            </w:r>
            <w:r w:rsidRPr="00DF409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фотографије</w:t>
            </w:r>
            <w:r w:rsidR="00C86B9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(Прилог 2</w:t>
            </w:r>
            <w:r w:rsidRPr="00DF409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)</w:t>
            </w:r>
            <w:r w:rsidR="00C86B9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Pr="00DF409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и писане историјске изворе (Прилог 3);</w:t>
            </w:r>
          </w:p>
          <w:p w:rsidR="00292D21" w:rsidRPr="00F11644" w:rsidRDefault="0042005C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Roboto, sans-serif" w:hAnsi="Roboto, sans-serif"/>
                <w:color w:val="111111"/>
              </w:rPr>
            </w:pPr>
            <w:r w:rsidRPr="009B738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прати и вреднује рад и понашање ученика.</w:t>
            </w:r>
          </w:p>
        </w:tc>
        <w:tc>
          <w:tcPr>
            <w:tcW w:w="480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E7E" w:rsidRPr="002C0941" w:rsidRDefault="002C0941" w:rsidP="00233C6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36"/>
                <w:lang w:val="sr-Cyrl-RS"/>
              </w:rPr>
            </w:pPr>
            <w:r w:rsidRPr="002C094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з</w:t>
            </w:r>
            <w:r w:rsidR="00B342BB" w:rsidRPr="002C0941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аписују најважније информације</w:t>
            </w:r>
            <w:r w:rsidR="00B342BB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о „Новосадској рацији</w:t>
            </w:r>
            <w:r w:rsidR="00B342BB" w:rsidRPr="002C0941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Pr="002C0941">
              <w:rPr>
                <w:rFonts w:ascii="Times New Roman" w:hAnsi="Times New Roman" w:cs="Times New Roman"/>
                <w:bCs/>
                <w:lang w:val="sr-Cyrl-CS"/>
              </w:rPr>
              <w:t xml:space="preserve"> који су забележени на табли</w:t>
            </w:r>
            <w:r w:rsidR="00B342BB" w:rsidRPr="002C0941">
              <w:rPr>
                <w:rFonts w:ascii="Times New Roman" w:hAnsi="Times New Roman" w:cs="Times New Roman"/>
                <w:bCs/>
                <w:lang w:val="sr-Cyrl-CS"/>
              </w:rPr>
              <w:t xml:space="preserve">, учествују у дискусији о филму, </w:t>
            </w:r>
            <w:r w:rsidR="006B4E7E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посматрајући историјску карту </w:t>
            </w:r>
            <w:r w:rsidR="00B342BB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окупиране југословенске краљевине идентификују</w:t>
            </w:r>
            <w:r w:rsidR="006B4E7E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8E2210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места у јужној Бачкој где је </w:t>
            </w:r>
            <w:r w:rsidR="00B342BB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злочин извршен</w:t>
            </w:r>
            <w:r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, </w:t>
            </w:r>
            <w:r w:rsidRPr="002C0941">
              <w:rPr>
                <w:rFonts w:ascii="Times New Roman" w:eastAsia="Times New Roman" w:hAnsi="Times New Roman" w:cs="Times New Roman"/>
                <w:szCs w:val="36"/>
                <w:lang w:val="sr-Cyrl-RS"/>
              </w:rPr>
              <w:t xml:space="preserve">уносе нове појмове у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речник </w:t>
            </w:r>
            <w:r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(на пример,</w:t>
            </w:r>
            <w:r w:rsidR="006B4E7E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Рација, Хонвед...), </w:t>
            </w:r>
            <w:r w:rsid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учествују у анализи историјских извора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, </w:t>
            </w:r>
            <w:r w:rsidR="006B4E7E" w:rsidRPr="002C0941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попуњава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ју ленту времена.</w:t>
            </w:r>
          </w:p>
          <w:p w:rsidR="006B4E7E" w:rsidRPr="00460FC5" w:rsidRDefault="006B4E7E" w:rsidP="002C0941">
            <w:pPr>
              <w:spacing w:after="0" w:line="25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</w:p>
        </w:tc>
      </w:tr>
      <w:tr w:rsidR="006B4E7E" w:rsidRPr="00460FC5" w:rsidTr="00E12664">
        <w:trPr>
          <w:trHeight w:val="928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6B4E7E" w:rsidRPr="00460FC5" w:rsidRDefault="006B4E7E" w:rsidP="00420F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Завршни део часа</w:t>
            </w:r>
          </w:p>
          <w:p w:rsidR="006B4E7E" w:rsidRPr="00460FC5" w:rsidRDefault="006B4E7E" w:rsidP="006B4E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</w:p>
        </w:tc>
        <w:tc>
          <w:tcPr>
            <w:tcW w:w="6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</w:tcPr>
          <w:p w:rsidR="009B7385" w:rsidRPr="00480920" w:rsidRDefault="00B12065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даје</w:t>
            </w:r>
            <w:r w:rsidR="009B7385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завршни коментар у којем је фокус 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поново </w:t>
            </w:r>
            <w:r w:rsidR="009B7385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на 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најважнијим разлозима </w:t>
            </w:r>
            <w:r w:rsidR="009B7385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за неговање сећања на 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догађаје из прошлости – неговање сећања нам помаже </w:t>
            </w:r>
            <w:r w:rsidR="009B7385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 </w:t>
            </w:r>
            <w:r w:rsidR="009B7385"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разумевању </w:t>
            </w:r>
            <w:r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савременог </w:t>
            </w:r>
            <w:r w:rsidR="009B7385"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света и у развијању сопственог идентитета, учи нас да </w:t>
            </w:r>
            <w:r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на време </w:t>
            </w:r>
            <w:r w:rsidR="009B7385"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уочимо </w:t>
            </w:r>
            <w:r w:rsidR="009B7385" w:rsidRPr="00480920">
              <w:rPr>
                <w:rFonts w:ascii="Times New Roman" w:hAnsi="Times New Roman" w:cs="Times New Roman"/>
                <w:color w:val="111111"/>
                <w:lang w:val="sr-Cyrl-RS"/>
              </w:rPr>
              <w:lastRenderedPageBreak/>
              <w:t>упозоравајуће сигнале да се слични злочини могу поновити, инспи</w:t>
            </w:r>
            <w:r w:rsidRPr="00480920">
              <w:rPr>
                <w:rFonts w:ascii="Times New Roman" w:hAnsi="Times New Roman" w:cs="Times New Roman"/>
                <w:color w:val="111111"/>
                <w:lang w:val="sr-Cyrl-RS"/>
              </w:rPr>
              <w:t>рише нас да будемо бољи људи...</w:t>
            </w:r>
            <w:r w:rsidR="00C320DF"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 (током завршног дела часа на наставниковој презентацији може да буде приказана фотографија </w:t>
            </w:r>
            <w:r w:rsidR="00FB3DD5"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знаменитог </w:t>
            </w:r>
            <w:r w:rsidR="00C320DF" w:rsidRPr="00480920">
              <w:rPr>
                <w:rFonts w:ascii="Times New Roman" w:hAnsi="Times New Roman" w:cs="Times New Roman"/>
                <w:color w:val="111111"/>
                <w:lang w:val="sr-Cyrl-RS"/>
              </w:rPr>
              <w:t>споменика „Породица</w:t>
            </w:r>
            <w:r w:rsidR="00C320DF" w:rsidRPr="00480920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C320DF" w:rsidRPr="00480920">
              <w:rPr>
                <w:rFonts w:ascii="Times New Roman" w:hAnsi="Times New Roman" w:cs="Times New Roman"/>
                <w:color w:val="111111"/>
                <w:lang w:val="sr-Cyrl-RS"/>
              </w:rPr>
              <w:t xml:space="preserve">, вајара Јована Солдатовића, посвећеног жртвама </w:t>
            </w:r>
            <w:r w:rsidR="00C320DF"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„Новосадске рације</w:t>
            </w:r>
            <w:r w:rsidR="00C320DF" w:rsidRPr="00480920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C320DF" w:rsidRPr="00480920">
              <w:rPr>
                <w:rFonts w:ascii="Times New Roman" w:hAnsi="Times New Roman" w:cs="Times New Roman"/>
                <w:color w:val="111111"/>
                <w:lang w:val="sr-Cyrl-RS"/>
              </w:rPr>
              <w:t>);</w:t>
            </w:r>
          </w:p>
          <w:p w:rsidR="001C7EF2" w:rsidRPr="00460FC5" w:rsidRDefault="00DB240A" w:rsidP="00DB7571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организује кратко понављање најважнијих</w:t>
            </w:r>
            <w:r w:rsidR="0076465E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појмова</w:t>
            </w:r>
            <w:r w:rsidR="00B1206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и чињеница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B12065" w:rsidRPr="00480920" w:rsidRDefault="00DB240A" w:rsidP="00DB7571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даје инструкције ученицима за рад код куће и упућује их на уџбеник и </w:t>
            </w:r>
            <w:r w:rsidR="009B738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другу литературу (Прилог 4</w:t>
            </w:r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)</w:t>
            </w:r>
            <w:r w:rsidR="00B1206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.</w:t>
            </w:r>
          </w:p>
        </w:tc>
        <w:tc>
          <w:tcPr>
            <w:tcW w:w="480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E7E" w:rsidRPr="00480920" w:rsidRDefault="00DB240A" w:rsidP="00480920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lastRenderedPageBreak/>
              <w:t>слушају</w:t>
            </w:r>
            <w:r w:rsid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наставников завршни коментар и бележе инструкције за даљи рад, понављају најважније појмове, </w:t>
            </w:r>
            <w:r w:rsidRPr="00480920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постављају питања.</w:t>
            </w:r>
          </w:p>
        </w:tc>
      </w:tr>
      <w:tr w:rsidR="006B4E7E" w:rsidRPr="00460FC5" w:rsidTr="00396371">
        <w:trPr>
          <w:trHeight w:val="1479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6B4E7E" w:rsidRPr="00460FC5" w:rsidRDefault="006B4E7E" w:rsidP="006B4E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Начини провере остварености исхода</w:t>
            </w:r>
          </w:p>
          <w:p w:rsidR="006B4E7E" w:rsidRPr="00460FC5" w:rsidRDefault="006B4E7E" w:rsidP="006B4E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D768F" w:rsidRDefault="0012010E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ученици су мотивисани за дискусију и, поштујући туђе мишљење, </w:t>
            </w:r>
            <w:r w:rsidR="002B3314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аргументују </w:t>
            </w:r>
            <w:r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ставове</w:t>
            </w:r>
            <w:r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о смислу неговања сећања на</w:t>
            </w:r>
            <w:r w:rsidR="00480920"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историјске догађаје као што је „Новосадска рација</w:t>
            </w:r>
            <w:r w:rsidRPr="001D768F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, образлажу могуће последице овог злочина мађарских окупатора из 1942. године на савремено српско друштво и</w:t>
            </w:r>
            <w:r w:rsidR="002B3314"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,</w:t>
            </w:r>
            <w:r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на истом примеру</w:t>
            </w:r>
            <w:r w:rsidR="002B3314"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,</w:t>
            </w:r>
            <w:r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изводе закључак о важности поштовања људских права; </w:t>
            </w:r>
          </w:p>
          <w:p w:rsidR="001D768F" w:rsidRDefault="002B3314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ученици прецизно идентификују основне карактеристике тоталитаризма у Мађарск</w:t>
            </w:r>
            <w:r w:rsidR="00CE64C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ој у време Другог светског рата;</w:t>
            </w:r>
          </w:p>
          <w:p w:rsidR="001D768F" w:rsidRDefault="00206657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ученици </w:t>
            </w:r>
            <w:r w:rsidR="00DB240A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лоцирају простор </w:t>
            </w:r>
            <w:r w:rsidR="00DA5317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на ко</w:t>
            </w:r>
            <w:r w:rsidR="0012010E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јем </w:t>
            </w:r>
            <w:r w:rsidR="00DA5317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су мађарски </w:t>
            </w:r>
            <w:r w:rsidR="0012010E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окупатори </w:t>
            </w:r>
            <w:r w:rsidR="00DA5317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извршили злочин</w:t>
            </w:r>
            <w:r w:rsidR="00480920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е</w:t>
            </w:r>
            <w:r w:rsidR="00DA5317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над Србима, Јеврејима и Ромима</w:t>
            </w:r>
            <w:r w:rsidR="0012010E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  <w:r w:rsidR="00480920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почетком </w:t>
            </w:r>
            <w:r w:rsidR="0012010E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1942. године</w:t>
            </w:r>
            <w:r w:rsidR="00DA5317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;</w:t>
            </w:r>
          </w:p>
          <w:p w:rsidR="001D768F" w:rsidRDefault="00206657" w:rsidP="00DB7571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ученици дефинишу појмове </w:t>
            </w:r>
            <w:r w:rsidR="00DB240A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приликом израде речника;</w:t>
            </w:r>
          </w:p>
          <w:p w:rsidR="006B4E7E" w:rsidRPr="001D768F" w:rsidRDefault="00206657" w:rsidP="00206657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ученици су убележили податке</w:t>
            </w:r>
            <w:r w:rsidR="00DB240A" w:rsidRPr="001D768F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у ленту времена.</w:t>
            </w:r>
            <w:r w:rsidR="00F11644" w:rsidRPr="001D768F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</w:tc>
      </w:tr>
      <w:tr w:rsidR="00C26EA0" w:rsidRPr="00460FC5" w:rsidTr="00396371">
        <w:trPr>
          <w:trHeight w:val="1479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C26EA0" w:rsidRPr="00460FC5" w:rsidRDefault="00C26EA0" w:rsidP="006B4E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Прилози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80920" w:rsidRDefault="00480920" w:rsidP="00480920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</w:p>
          <w:p w:rsidR="00C86B9F" w:rsidRPr="00EB733F" w:rsidRDefault="00C86B9F" w:rsidP="00C86B9F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Прилог 1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. Документарни филм „Деца бесмртности</w:t>
            </w:r>
            <w:r w:rsidR="00EA4B8C" w:rsidRPr="00B12065">
              <w:rPr>
                <w:rFonts w:ascii="Times New Roman" w:hAnsi="Times New Roman" w:cs="Times New Roman"/>
                <w:bCs/>
                <w:lang w:val="sr-Cyrl-CS"/>
              </w:rPr>
              <w:t>”</w:t>
            </w:r>
            <w:r w:rsidR="00E70969">
              <w:rPr>
                <w:rFonts w:ascii="Times New Roman" w:hAnsi="Times New Roman" w:cs="Times New Roman"/>
                <w:bCs/>
                <w:lang w:val="sr-Cyrl-CS"/>
              </w:rPr>
              <w:t>.</w:t>
            </w:r>
          </w:p>
          <w:p w:rsidR="00EB733F" w:rsidRPr="00EB733F" w:rsidRDefault="00420F69" w:rsidP="00EB733F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hyperlink r:id="rId5" w:history="1">
              <w:r w:rsidR="00EB733F" w:rsidRPr="00DC5689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https://www.youtube.com/watch?v=u77dXDdysvU</w:t>
              </w:r>
            </w:hyperlink>
            <w:r w:rsidR="00EB733F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</w:p>
          <w:p w:rsidR="008E2210" w:rsidRPr="00460FC5" w:rsidRDefault="00C86B9F" w:rsidP="005B1F5B">
            <w:pPr>
              <w:numPr>
                <w:ilvl w:val="0"/>
                <w:numId w:val="4"/>
              </w:numPr>
              <w:spacing w:after="0" w:line="240" w:lineRule="auto"/>
              <w:ind w:left="994"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Прилог 2</w:t>
            </w:r>
            <w:r w:rsidR="00694C26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. Препоручене ф</w:t>
            </w:r>
            <w:r w:rsidR="00E70969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отографије.</w:t>
            </w:r>
            <w:r w:rsidR="00C26EA0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  <w:p w:rsidR="00C26EA0" w:rsidRPr="00460FC5" w:rsidRDefault="00420F69" w:rsidP="00C26EA0">
            <w:pPr>
              <w:spacing w:after="0" w:line="240" w:lineRule="auto"/>
              <w:ind w:left="994"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6" w:history="1">
              <w:r w:rsidR="00C26EA0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https://jadovno.com/wp-content/uploads/2016/01/Racija.jpg</w:t>
              </w:r>
            </w:hyperlink>
          </w:p>
          <w:p w:rsidR="00C26EA0" w:rsidRPr="00460FC5" w:rsidRDefault="00420F69" w:rsidP="00C26EA0">
            <w:pPr>
              <w:spacing w:after="0" w:line="240" w:lineRule="auto"/>
              <w:ind w:left="994"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7" w:history="1">
              <w:r w:rsidR="00C26EA0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https://novosadskaracija.com/wp-content/uploads/2021/04/masakr-005.jpg</w:t>
              </w:r>
            </w:hyperlink>
          </w:p>
          <w:p w:rsidR="00C26EA0" w:rsidRPr="00460FC5" w:rsidRDefault="00420F69" w:rsidP="00C26EA0">
            <w:pPr>
              <w:spacing w:after="0" w:line="240" w:lineRule="auto"/>
              <w:ind w:left="994"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8" w:history="1">
              <w:r w:rsidR="00C26EA0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https://jadovno.com/wp-content/uploads/2017/01/Novosadska_racija_vjesanje_nevinih_civila.jpg</w:t>
              </w:r>
            </w:hyperlink>
          </w:p>
          <w:p w:rsidR="00DA5317" w:rsidRPr="00460FC5" w:rsidRDefault="00DA5317" w:rsidP="00DA5317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Прилог 3. Писани историјски извори.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9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https://novosadskaracija.com/wp-content/uploads/2021/04/Izvod-iz-zapisnika-Feketehalmi-Ferenca.pdf</w:t>
              </w:r>
            </w:hyperlink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10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https://novosadskaracija.com/wp-content/uploads/2021/04/Saslusanje-svedoka-Vladislava-Komlosa-svedoka-racije.pdf</w:t>
              </w:r>
            </w:hyperlink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11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https://novosadskaracija.com/wp-content/uploads/2021/04/Pismena-zapovest-Grasi-Jozefa.pdf</w:t>
              </w:r>
            </w:hyperlink>
          </w:p>
          <w:p w:rsidR="00DA5317" w:rsidRPr="00460FC5" w:rsidRDefault="00DA5317" w:rsidP="006B4E7E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Прилог 4. 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Препоручене интернет странице:</w:t>
            </w:r>
          </w:p>
          <w:p w:rsidR="00DA5317" w:rsidRPr="00460FC5" w:rsidRDefault="00DA5317" w:rsidP="00DA531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          Новосадска рација </w:t>
            </w:r>
            <w:hyperlink r:id="rId12" w:history="1">
              <w:r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https://novosadskaracija.com/</w:t>
              </w:r>
            </w:hyperlink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  <w:p w:rsidR="00DA5317" w:rsidRPr="00460FC5" w:rsidRDefault="00DA5317" w:rsidP="00DA531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lastRenderedPageBreak/>
              <w:t xml:space="preserve">            Јадовно </w:t>
            </w:r>
            <w:hyperlink r:id="rId13" w:history="1">
              <w:r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https://jadovno.com/novosadska-racija-1942/?lng=lat</w:t>
              </w:r>
            </w:hyperlink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  <w:p w:rsidR="00DA5317" w:rsidRPr="00460FC5" w:rsidRDefault="00DA5317" w:rsidP="00DA531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          Културни центар Новог Сада </w:t>
            </w:r>
            <w:hyperlink r:id="rId14" w:history="1">
              <w:r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https://www.kcns.org.rs/agora/novosadska-racija-1942-godine/</w:t>
              </w:r>
            </w:hyperlink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  <w:p w:rsidR="00DA5317" w:rsidRPr="00460FC5" w:rsidRDefault="00DA5317" w:rsidP="00DA531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          Јеврејска дигитална библиотека </w:t>
            </w:r>
            <w:hyperlink r:id="rId15" w:history="1">
              <w:r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https://www.jevrejskadigitalnabiblioteka.rs/handle/123456789/1463</w:t>
              </w:r>
            </w:hyperlink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Препоручена литература: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Kasaš, Aleksandar </w:t>
            </w:r>
            <w:r w:rsidR="00E70969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(1996). Mađari u Vojvodini 1941–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1946. Novi Sad: Filozofski Fakultet u Novom Sadu.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16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https://plus.sr.cobiss.net/opac7/bib/109400327</w:t>
              </w:r>
            </w:hyperlink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 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Звонимир Голубовић, Рација у Јужној Бачко</w:t>
            </w:r>
            <w:r w:rsidR="00E70969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ј, 1942. године, Нови Сад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1992.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17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https://plus.sr.cobiss.net/opac7/bib/19397127</w:t>
              </w:r>
            </w:hyperlink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Звонимир Голубовић, Рација 1942, Енциклопедија</w:t>
            </w:r>
            <w:r w:rsidR="00E70969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Новог Сада, књига 23, Нови Сад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2004.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18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https://plus.sr.cobiss.net/opac7/bib/192625415</w:t>
              </w:r>
            </w:hyperlink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</w:t>
            </w:r>
          </w:p>
          <w:p w:rsidR="00DA5317" w:rsidRPr="00460FC5" w:rsidRDefault="00E709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Александар Вељић, Рација – Заборављен геноцид, Београд</w:t>
            </w:r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2007.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19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https://plus.sr.cobiss.net/opac7/bib/144186380</w:t>
              </w:r>
            </w:hyperlink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Александар Вељић, Истина о Новос</w:t>
            </w:r>
            <w:r w:rsidR="00E70969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адској рацији, Сремска Каменица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2010.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20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https://plus.sr.cobiss.net/opac7/bib/258780167</w:t>
              </w:r>
            </w:hyperlink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 </w:t>
            </w:r>
          </w:p>
          <w:p w:rsidR="00DA5317" w:rsidRPr="00460FC5" w:rsidRDefault="00DA5317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Јован Радосављевић, Рација и логори у Бачкој за време Другог светског </w:t>
            </w:r>
            <w:r w:rsidR="00E70969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рата, Нови Сад</w:t>
            </w:r>
            <w:r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2012.</w:t>
            </w:r>
          </w:p>
          <w:p w:rsidR="00DA5317" w:rsidRPr="00460FC5" w:rsidRDefault="00420F69" w:rsidP="00DA5317">
            <w:pPr>
              <w:spacing w:after="0" w:line="240" w:lineRule="auto"/>
              <w:ind w:left="994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  <w:hyperlink r:id="rId21" w:history="1">
              <w:r w:rsidR="00DA5317" w:rsidRPr="00460FC5">
                <w:rPr>
                  <w:rStyle w:val="Hyperlink"/>
                  <w:rFonts w:ascii="Times New Roman" w:eastAsia="Calibri" w:hAnsi="Times New Roman" w:cs="Times New Roman"/>
                  <w:kern w:val="24"/>
                  <w:lang w:val="sr-Cyrl-RS"/>
                </w:rPr>
                <w:t>https://plus.sr.cobiss.net/opac7/bib/274242567</w:t>
              </w:r>
            </w:hyperlink>
            <w:r w:rsidR="00DA5317" w:rsidRPr="00460FC5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 xml:space="preserve"> </w:t>
            </w:r>
          </w:p>
          <w:p w:rsidR="008E2210" w:rsidRPr="00460FC5" w:rsidRDefault="008E2210" w:rsidP="005B1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</w:p>
        </w:tc>
      </w:tr>
      <w:tr w:rsidR="006B4E7E" w:rsidRPr="00460FC5" w:rsidTr="00A2442F">
        <w:trPr>
          <w:trHeight w:val="1945"/>
        </w:trPr>
        <w:tc>
          <w:tcPr>
            <w:tcW w:w="2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6B4E7E" w:rsidRPr="00460FC5" w:rsidRDefault="006B4E7E" w:rsidP="006B4E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lastRenderedPageBreak/>
              <w:t xml:space="preserve">ОКВИР ЗА ПРЕИСПИТИВАЊЕ ОСТВАРЕНОГ ЧАСА: </w:t>
            </w:r>
          </w:p>
          <w:p w:rsidR="001C7EF2" w:rsidRPr="00460FC5" w:rsidRDefault="00DB240A" w:rsidP="006B4E7E">
            <w:pPr>
              <w:numPr>
                <w:ilvl w:val="0"/>
                <w:numId w:val="8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Да ли ми је адекватан избор начина провере остварености исхода?</w:t>
            </w:r>
          </w:p>
          <w:p w:rsidR="001C7EF2" w:rsidRPr="00460FC5" w:rsidRDefault="00DB240A" w:rsidP="006B4E7E">
            <w:pPr>
              <w:numPr>
                <w:ilvl w:val="0"/>
                <w:numId w:val="8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Да ли сам планирао/ла адекватне активности ученика?</w:t>
            </w:r>
          </w:p>
          <w:p w:rsidR="001C7EF2" w:rsidRPr="00460FC5" w:rsidRDefault="00DB240A" w:rsidP="006B4E7E">
            <w:pPr>
              <w:numPr>
                <w:ilvl w:val="0"/>
                <w:numId w:val="8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Да ли је било одступања/потешкоћа приликом остваривања планираног?</w:t>
            </w:r>
          </w:p>
          <w:p w:rsidR="001C7EF2" w:rsidRPr="00460FC5" w:rsidRDefault="00DB240A" w:rsidP="006B4E7E">
            <w:pPr>
              <w:numPr>
                <w:ilvl w:val="0"/>
                <w:numId w:val="8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lastRenderedPageBreak/>
              <w:t>Шта бих сада урадио/ла нешто другачије?</w:t>
            </w:r>
          </w:p>
          <w:p w:rsidR="006B4E7E" w:rsidRPr="00460FC5" w:rsidRDefault="00DB240A" w:rsidP="00396371">
            <w:pPr>
              <w:numPr>
                <w:ilvl w:val="0"/>
                <w:numId w:val="8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</w:pPr>
            <w:r w:rsidRPr="00460FC5">
              <w:rPr>
                <w:rFonts w:ascii="Times New Roman" w:eastAsia="Times New Roman" w:hAnsi="Times New Roman" w:cs="Times New Roman"/>
                <w:color w:val="000000"/>
                <w:kern w:val="24"/>
                <w:lang w:val="sr-Cyrl-RS"/>
              </w:rPr>
              <w:t>...</w:t>
            </w:r>
          </w:p>
        </w:tc>
        <w:tc>
          <w:tcPr>
            <w:tcW w:w="1104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" w:type="dxa"/>
              <w:left w:w="31" w:type="dxa"/>
              <w:bottom w:w="0" w:type="dxa"/>
              <w:right w:w="31" w:type="dxa"/>
            </w:tcMar>
          </w:tcPr>
          <w:p w:rsidR="006B4E7E" w:rsidRPr="00460FC5" w:rsidRDefault="006B4E7E" w:rsidP="005C6845">
            <w:pPr>
              <w:pStyle w:val="Standard"/>
              <w:rPr>
                <w:rFonts w:eastAsia="Calibri" w:cs="Times New Roman"/>
                <w:color w:val="000000"/>
                <w:kern w:val="24"/>
                <w:lang w:val="sr-Cyrl-RS"/>
              </w:rPr>
            </w:pPr>
          </w:p>
        </w:tc>
      </w:tr>
    </w:tbl>
    <w:p w:rsidR="006B4E7E" w:rsidRPr="00460FC5" w:rsidRDefault="006B4E7E" w:rsidP="00DB240A">
      <w:pPr>
        <w:rPr>
          <w:lang w:val="sr-Cyrl-RS"/>
        </w:rPr>
      </w:pPr>
    </w:p>
    <w:sectPr w:rsidR="006B4E7E" w:rsidRPr="00460FC5" w:rsidSect="00396371"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BA0"/>
    <w:multiLevelType w:val="hybridMultilevel"/>
    <w:tmpl w:val="FC82D206"/>
    <w:lvl w:ilvl="0" w:tplc="B9DCDED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65118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7B8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625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EF10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0A88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ED8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E50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C37D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001538"/>
    <w:multiLevelType w:val="hybridMultilevel"/>
    <w:tmpl w:val="57CCAD1A"/>
    <w:lvl w:ilvl="0" w:tplc="3C9C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8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0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A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2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C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C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79358F"/>
    <w:multiLevelType w:val="hybridMultilevel"/>
    <w:tmpl w:val="C20E4FF6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06ED6F45"/>
    <w:multiLevelType w:val="hybridMultilevel"/>
    <w:tmpl w:val="D0443AB2"/>
    <w:lvl w:ilvl="0" w:tplc="ABF2D09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D12"/>
    <w:multiLevelType w:val="hybridMultilevel"/>
    <w:tmpl w:val="D8F0FD50"/>
    <w:lvl w:ilvl="0" w:tplc="826AAAC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C5F7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01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A604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6E07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8A9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2C9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C46A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E21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B70A8F"/>
    <w:multiLevelType w:val="hybridMultilevel"/>
    <w:tmpl w:val="60BEB534"/>
    <w:lvl w:ilvl="0" w:tplc="368E41F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F2334"/>
    <w:multiLevelType w:val="hybridMultilevel"/>
    <w:tmpl w:val="55C27874"/>
    <w:lvl w:ilvl="0" w:tplc="7BF8797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CAFB8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A14A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45AD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2F74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CAC1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C17B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AB23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2462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100DB7"/>
    <w:multiLevelType w:val="hybridMultilevel"/>
    <w:tmpl w:val="05E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2221C"/>
    <w:multiLevelType w:val="hybridMultilevel"/>
    <w:tmpl w:val="85C09218"/>
    <w:lvl w:ilvl="0" w:tplc="411AE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8D4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CEAD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E5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3FF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A192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4E8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EDB6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EED7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D55636"/>
    <w:multiLevelType w:val="hybridMultilevel"/>
    <w:tmpl w:val="3D100162"/>
    <w:lvl w:ilvl="0" w:tplc="8CD8E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6BFE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C395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21C6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688D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887B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6056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D8A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A832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E123C8"/>
    <w:multiLevelType w:val="hybridMultilevel"/>
    <w:tmpl w:val="B35A1C00"/>
    <w:lvl w:ilvl="0" w:tplc="899485F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3C0D18" w:tentative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64073E" w:tentative="1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A8FA9E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C88580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800F5E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1E96CE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AAC61A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66E5FE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C1328C"/>
    <w:multiLevelType w:val="hybridMultilevel"/>
    <w:tmpl w:val="E350230C"/>
    <w:lvl w:ilvl="0" w:tplc="0D527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44C9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B1A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99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EC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AC21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287A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4BA1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0AF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ABB1935"/>
    <w:multiLevelType w:val="multilevel"/>
    <w:tmpl w:val="71068F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8"/>
    <w:rsid w:val="0003759F"/>
    <w:rsid w:val="0007366E"/>
    <w:rsid w:val="000947DB"/>
    <w:rsid w:val="00097059"/>
    <w:rsid w:val="0012010E"/>
    <w:rsid w:val="001A7A8E"/>
    <w:rsid w:val="001B526B"/>
    <w:rsid w:val="001C7EF2"/>
    <w:rsid w:val="001D3693"/>
    <w:rsid w:val="001D768F"/>
    <w:rsid w:val="001E7F33"/>
    <w:rsid w:val="00206657"/>
    <w:rsid w:val="00233C6B"/>
    <w:rsid w:val="00250EBE"/>
    <w:rsid w:val="00292D21"/>
    <w:rsid w:val="00295B03"/>
    <w:rsid w:val="002B3314"/>
    <w:rsid w:val="002C0941"/>
    <w:rsid w:val="00396371"/>
    <w:rsid w:val="003D4007"/>
    <w:rsid w:val="0042005C"/>
    <w:rsid w:val="00420F69"/>
    <w:rsid w:val="00460EBD"/>
    <w:rsid w:val="00460FC5"/>
    <w:rsid w:val="00480920"/>
    <w:rsid w:val="004A2C3D"/>
    <w:rsid w:val="004D00F7"/>
    <w:rsid w:val="00532268"/>
    <w:rsid w:val="00597FC3"/>
    <w:rsid w:val="005B1F5B"/>
    <w:rsid w:val="005C6845"/>
    <w:rsid w:val="005F6910"/>
    <w:rsid w:val="00615D9E"/>
    <w:rsid w:val="00692EAC"/>
    <w:rsid w:val="00694C26"/>
    <w:rsid w:val="006B4E7E"/>
    <w:rsid w:val="0076465E"/>
    <w:rsid w:val="00785417"/>
    <w:rsid w:val="007E3F09"/>
    <w:rsid w:val="008B3499"/>
    <w:rsid w:val="008C4488"/>
    <w:rsid w:val="008E2210"/>
    <w:rsid w:val="009446F1"/>
    <w:rsid w:val="009B7385"/>
    <w:rsid w:val="00A7211C"/>
    <w:rsid w:val="00B12065"/>
    <w:rsid w:val="00B312A3"/>
    <w:rsid w:val="00B342BB"/>
    <w:rsid w:val="00B3565A"/>
    <w:rsid w:val="00B441FE"/>
    <w:rsid w:val="00BA18B0"/>
    <w:rsid w:val="00BF52DC"/>
    <w:rsid w:val="00C055F2"/>
    <w:rsid w:val="00C26EA0"/>
    <w:rsid w:val="00C320DF"/>
    <w:rsid w:val="00C57EA0"/>
    <w:rsid w:val="00C86B9F"/>
    <w:rsid w:val="00CE64CF"/>
    <w:rsid w:val="00CF4157"/>
    <w:rsid w:val="00D04997"/>
    <w:rsid w:val="00D66E66"/>
    <w:rsid w:val="00D84C8C"/>
    <w:rsid w:val="00DA5317"/>
    <w:rsid w:val="00DB240A"/>
    <w:rsid w:val="00DB7571"/>
    <w:rsid w:val="00DC33F8"/>
    <w:rsid w:val="00DF4091"/>
    <w:rsid w:val="00E12664"/>
    <w:rsid w:val="00E32F95"/>
    <w:rsid w:val="00E70969"/>
    <w:rsid w:val="00EA4B8C"/>
    <w:rsid w:val="00EA7DD5"/>
    <w:rsid w:val="00EB68C2"/>
    <w:rsid w:val="00EB733F"/>
    <w:rsid w:val="00F11644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9BB7"/>
  <w15:docId w15:val="{1F63DE9D-4673-418A-9256-4A6A800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EA0"/>
    <w:rPr>
      <w:color w:val="800080" w:themeColor="followedHyperlink"/>
      <w:u w:val="single"/>
    </w:rPr>
  </w:style>
  <w:style w:type="paragraph" w:customStyle="1" w:styleId="Standard">
    <w:name w:val="Standard"/>
    <w:rsid w:val="00D04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049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dovno.com/wp-content/uploads/2017/01/Novosadska_racija_vjesanje_nevinih_civila.jpg" TargetMode="External"/><Relationship Id="rId13" Type="http://schemas.openxmlformats.org/officeDocument/2006/relationships/hyperlink" Target="https://jadovno.com/novosadska-racija-1942/?lng=lat" TargetMode="External"/><Relationship Id="rId18" Type="http://schemas.openxmlformats.org/officeDocument/2006/relationships/hyperlink" Target="https://plus.sr.cobiss.net/opac7/bib/1926254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sr.cobiss.net/opac7/bib/274242567" TargetMode="External"/><Relationship Id="rId7" Type="http://schemas.openxmlformats.org/officeDocument/2006/relationships/hyperlink" Target="https://novosadskaracija.com/wp-content/uploads/2021/04/masakr-005.jpg" TargetMode="External"/><Relationship Id="rId12" Type="http://schemas.openxmlformats.org/officeDocument/2006/relationships/hyperlink" Target="https://novosadskaracija.com/" TargetMode="External"/><Relationship Id="rId17" Type="http://schemas.openxmlformats.org/officeDocument/2006/relationships/hyperlink" Target="https://plus.sr.cobiss.net/opac7/bib/19397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sr.cobiss.net/opac7/bib/109400327" TargetMode="External"/><Relationship Id="rId20" Type="http://schemas.openxmlformats.org/officeDocument/2006/relationships/hyperlink" Target="https://plus.sr.cobiss.net/opac7/bib/2587801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dovno.com/wp-content/uploads/2016/01/Racija.jpg" TargetMode="External"/><Relationship Id="rId11" Type="http://schemas.openxmlformats.org/officeDocument/2006/relationships/hyperlink" Target="https://novosadskaracija.com/wp-content/uploads/2021/04/Pismena-zapovest-Grasi-Jozefa.pdf" TargetMode="External"/><Relationship Id="rId5" Type="http://schemas.openxmlformats.org/officeDocument/2006/relationships/hyperlink" Target="https://www.youtube.com/watch?v=u77dXDdysvU" TargetMode="External"/><Relationship Id="rId15" Type="http://schemas.openxmlformats.org/officeDocument/2006/relationships/hyperlink" Target="https://www.jevrejskadigitalnabiblioteka.rs/handle/123456789/14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vosadskaracija.com/wp-content/uploads/2021/04/Saslusanje-svedoka-Vladislava-Komlosa-svedoka-racije.pdf" TargetMode="External"/><Relationship Id="rId19" Type="http://schemas.openxmlformats.org/officeDocument/2006/relationships/hyperlink" Target="https://plus.sr.cobiss.net/opac7/bib/144186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sadskaracija.com/wp-content/uploads/2021/04/Izvod-iz-zapisnika-Feketehalmi-Ferenca.pdf" TargetMode="External"/><Relationship Id="rId14" Type="http://schemas.openxmlformats.org/officeDocument/2006/relationships/hyperlink" Target="https://www.kcns.org.rs/agora/novosadska-racija-1942-god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BojanaM</dc:creator>
  <cp:keywords/>
  <dc:description/>
  <cp:lastModifiedBy>AleksaE</cp:lastModifiedBy>
  <cp:revision>40</cp:revision>
  <cp:lastPrinted>2019-03-06T11:51:00Z</cp:lastPrinted>
  <dcterms:created xsi:type="dcterms:W3CDTF">2019-03-06T11:46:00Z</dcterms:created>
  <dcterms:modified xsi:type="dcterms:W3CDTF">2022-04-13T10:49:00Z</dcterms:modified>
</cp:coreProperties>
</file>